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51914" w14:textId="5809CB41" w:rsidR="005E301D" w:rsidRPr="009C1AF0" w:rsidRDefault="00797339" w:rsidP="009C1AF0">
      <w:pPr>
        <w:jc w:val="center"/>
        <w:rPr>
          <w:rFonts w:ascii="Cambria" w:hAnsi="Cambria"/>
          <w:b/>
          <w:bCs/>
          <w:color w:val="0070C0"/>
          <w:sz w:val="28"/>
          <w:szCs w:val="28"/>
        </w:rPr>
      </w:pPr>
      <w:r>
        <w:rPr>
          <w:rFonts w:ascii="Cambria" w:hAnsi="Cambria"/>
          <w:b/>
          <w:bCs/>
          <w:color w:val="0070C0"/>
          <w:sz w:val="28"/>
          <w:szCs w:val="28"/>
        </w:rPr>
        <w:t>Diploma in Treasury, Investment and Risk Management</w:t>
      </w:r>
    </w:p>
    <w:p w14:paraId="1B5F0079"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RBI Notifications during the period</w:t>
      </w:r>
    </w:p>
    <w:p w14:paraId="26A1E133"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1st July 2020 to 31st Dec 2020</w:t>
      </w:r>
    </w:p>
    <w:p w14:paraId="3AAA61C6" w14:textId="5D62060F" w:rsidR="00984497" w:rsidRDefault="00984497" w:rsidP="004F2E3C">
      <w:pPr>
        <w:jc w:val="both"/>
        <w:rPr>
          <w:rFonts w:ascii="Cambria" w:hAnsi="Cambria"/>
          <w:sz w:val="24"/>
          <w:szCs w:val="24"/>
        </w:rPr>
      </w:pPr>
    </w:p>
    <w:p w14:paraId="6FE7C4DC" w14:textId="51A35CF5" w:rsidR="00AC0EFA" w:rsidRPr="00113001" w:rsidRDefault="00AC0EFA" w:rsidP="004F2E3C">
      <w:pPr>
        <w:spacing w:after="0" w:line="240" w:lineRule="auto"/>
        <w:jc w:val="both"/>
        <w:rPr>
          <w:rFonts w:ascii="Cambria" w:hAnsi="Cambria"/>
          <w:b/>
          <w:bCs/>
          <w:sz w:val="24"/>
          <w:szCs w:val="24"/>
        </w:rPr>
      </w:pPr>
      <w:r w:rsidRPr="00113001">
        <w:rPr>
          <w:rFonts w:ascii="Cambria" w:hAnsi="Cambria"/>
          <w:b/>
          <w:bCs/>
          <w:sz w:val="24"/>
          <w:szCs w:val="24"/>
        </w:rPr>
        <w:t>Basel III Capital Regulations – Treatment of debt mutual funds/ETFs</w:t>
      </w:r>
    </w:p>
    <w:p w14:paraId="4CE17D81" w14:textId="77777777" w:rsidR="00D52BE8" w:rsidRPr="00113001" w:rsidRDefault="00D52BE8" w:rsidP="004F2E3C">
      <w:pPr>
        <w:spacing w:after="0" w:line="240" w:lineRule="auto"/>
        <w:jc w:val="both"/>
        <w:rPr>
          <w:rFonts w:ascii="Cambria" w:hAnsi="Cambria"/>
          <w:sz w:val="24"/>
          <w:szCs w:val="24"/>
        </w:rPr>
      </w:pPr>
    </w:p>
    <w:p w14:paraId="7F8CD89C" w14:textId="620DF79F"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 xml:space="preserve">RBI/2020-21/18 </w:t>
      </w:r>
      <w:proofErr w:type="spellStart"/>
      <w:r w:rsidRPr="00113001">
        <w:rPr>
          <w:rFonts w:ascii="Cambria" w:hAnsi="Cambria"/>
          <w:sz w:val="24"/>
          <w:szCs w:val="24"/>
        </w:rPr>
        <w:t>DOR.No.BP.BC</w:t>
      </w:r>
      <w:proofErr w:type="spellEnd"/>
      <w:r w:rsidRPr="00113001">
        <w:rPr>
          <w:rFonts w:ascii="Cambria" w:hAnsi="Cambria"/>
          <w:sz w:val="24"/>
          <w:szCs w:val="24"/>
        </w:rPr>
        <w:t>/5/21.04.201/2020-21</w:t>
      </w:r>
    </w:p>
    <w:p w14:paraId="28146B4B" w14:textId="77777777"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August 6, 2020</w:t>
      </w:r>
    </w:p>
    <w:p w14:paraId="3264D50B" w14:textId="77777777" w:rsidR="00AC0EFA" w:rsidRPr="00113001" w:rsidRDefault="00AC0EFA" w:rsidP="004F2E3C">
      <w:pPr>
        <w:spacing w:after="0" w:line="240" w:lineRule="auto"/>
        <w:jc w:val="both"/>
        <w:rPr>
          <w:rFonts w:ascii="Cambria" w:hAnsi="Cambria"/>
          <w:sz w:val="24"/>
          <w:szCs w:val="24"/>
        </w:rPr>
      </w:pPr>
    </w:p>
    <w:p w14:paraId="6013109C" w14:textId="6ED9E5DD"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All Scheduled Commercial Banks (Excluding Local Area Banks and Regional Rural Banks)</w:t>
      </w:r>
    </w:p>
    <w:p w14:paraId="034E69D2" w14:textId="77777777" w:rsidR="00AC0EFA" w:rsidRPr="00113001" w:rsidRDefault="00AC0EFA" w:rsidP="004F2E3C">
      <w:pPr>
        <w:spacing w:after="0" w:line="240" w:lineRule="auto"/>
        <w:jc w:val="both"/>
        <w:rPr>
          <w:rFonts w:ascii="Cambria" w:hAnsi="Cambria"/>
          <w:sz w:val="24"/>
          <w:szCs w:val="24"/>
        </w:rPr>
      </w:pPr>
    </w:p>
    <w:p w14:paraId="723E55C8" w14:textId="77777777"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 xml:space="preserve">Please refer to our circular </w:t>
      </w:r>
      <w:proofErr w:type="spellStart"/>
      <w:r w:rsidRPr="00113001">
        <w:rPr>
          <w:rFonts w:ascii="Cambria" w:hAnsi="Cambria"/>
          <w:sz w:val="24"/>
          <w:szCs w:val="24"/>
        </w:rPr>
        <w:t>DBR.No.BP.BC.1</w:t>
      </w:r>
      <w:proofErr w:type="spellEnd"/>
      <w:r w:rsidRPr="00113001">
        <w:rPr>
          <w:rFonts w:ascii="Cambria" w:hAnsi="Cambria"/>
          <w:sz w:val="24"/>
          <w:szCs w:val="24"/>
        </w:rPr>
        <w:t>/21.06.201/2015-16 dated July 1, 2015, on Basel III capital regulations.</w:t>
      </w:r>
    </w:p>
    <w:p w14:paraId="5C6DD836" w14:textId="77777777" w:rsidR="00AC0EFA" w:rsidRPr="00113001" w:rsidRDefault="00AC0EFA" w:rsidP="004F2E3C">
      <w:pPr>
        <w:spacing w:after="0" w:line="240" w:lineRule="auto"/>
        <w:jc w:val="both"/>
        <w:rPr>
          <w:rFonts w:ascii="Cambria" w:hAnsi="Cambria"/>
          <w:sz w:val="24"/>
          <w:szCs w:val="24"/>
        </w:rPr>
      </w:pPr>
    </w:p>
    <w:p w14:paraId="7D0C7870" w14:textId="77777777"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2. In terms of para 8.4.1 of the circular, capital charge for equities is applicable to units of mutual funds. It has now been decided that the banks investing in debt mutual fund/exchange traded fund (ETF) with underlying comprising of (</w:t>
      </w:r>
      <w:proofErr w:type="spellStart"/>
      <w:r w:rsidRPr="00113001">
        <w:rPr>
          <w:rFonts w:ascii="Cambria" w:hAnsi="Cambria"/>
          <w:sz w:val="24"/>
          <w:szCs w:val="24"/>
        </w:rPr>
        <w:t>i</w:t>
      </w:r>
      <w:proofErr w:type="spellEnd"/>
      <w:r w:rsidRPr="00113001">
        <w:rPr>
          <w:rFonts w:ascii="Cambria" w:hAnsi="Cambria"/>
          <w:sz w:val="24"/>
          <w:szCs w:val="24"/>
        </w:rPr>
        <w:t>) Central, State and Foreign Central Governments’ bonds (ii) Bank’s Bonds and (iii) Corporate Bonds (other than Bank Bonds) shall compute capital charge for market risk as under:</w:t>
      </w:r>
    </w:p>
    <w:p w14:paraId="6275654F" w14:textId="77777777" w:rsidR="00AC0EFA" w:rsidRPr="00113001" w:rsidRDefault="00AC0EFA" w:rsidP="004F2E3C">
      <w:pPr>
        <w:spacing w:after="0" w:line="240" w:lineRule="auto"/>
        <w:jc w:val="both"/>
        <w:rPr>
          <w:rFonts w:ascii="Cambria" w:hAnsi="Cambria"/>
          <w:sz w:val="24"/>
          <w:szCs w:val="24"/>
        </w:rPr>
      </w:pPr>
    </w:p>
    <w:p w14:paraId="4CBC7505" w14:textId="77777777"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a) Investment in debt mutual fund/ETF for which full constituent debt details are available shall attract general market risk charge of 9 per cent, as hitherto. Specific risk capital charge for various kinds of exposures would be applied as detailed below:</w:t>
      </w:r>
    </w:p>
    <w:p w14:paraId="74E21B2D" w14:textId="77777777" w:rsidR="00AC0EFA" w:rsidRPr="00113001" w:rsidRDefault="00AC0EFA" w:rsidP="004F2E3C">
      <w:pPr>
        <w:spacing w:after="0" w:line="240" w:lineRule="auto"/>
        <w:jc w:val="both"/>
        <w:rPr>
          <w:rFonts w:ascii="Cambria" w:hAnsi="Cambria"/>
          <w:sz w:val="24"/>
          <w:szCs w:val="24"/>
        </w:rPr>
      </w:pPr>
    </w:p>
    <w:tbl>
      <w:tblPr>
        <w:tblW w:w="45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2"/>
        <w:gridCol w:w="5392"/>
        <w:gridCol w:w="2239"/>
      </w:tblGrid>
      <w:tr w:rsidR="00AC0EFA" w:rsidRPr="00113001" w14:paraId="14E441F9" w14:textId="77777777" w:rsidTr="00D52BE8">
        <w:trPr>
          <w:trHeight w:val="715"/>
          <w:jc w:val="center"/>
        </w:trPr>
        <w:tc>
          <w:tcPr>
            <w:tcW w:w="399" w:type="pct"/>
            <w:tcMar>
              <w:top w:w="0" w:type="dxa"/>
              <w:left w:w="45" w:type="dxa"/>
              <w:bottom w:w="0" w:type="dxa"/>
              <w:right w:w="45" w:type="dxa"/>
            </w:tcMar>
            <w:vAlign w:val="center"/>
            <w:hideMark/>
          </w:tcPr>
          <w:p w14:paraId="525C9A96" w14:textId="77777777" w:rsidR="00AC0EFA" w:rsidRPr="00113001" w:rsidRDefault="00AC0EFA" w:rsidP="004F2E3C">
            <w:pPr>
              <w:spacing w:after="0" w:line="240" w:lineRule="auto"/>
              <w:jc w:val="both"/>
              <w:rPr>
                <w:rFonts w:ascii="Cambria" w:eastAsia="Times New Roman" w:hAnsi="Cambria" w:cs="Arial"/>
                <w:b/>
                <w:bCs/>
                <w:color w:val="000000"/>
                <w:sz w:val="24"/>
                <w:szCs w:val="24"/>
                <w:lang w:eastAsia="en-IN"/>
              </w:rPr>
            </w:pPr>
            <w:r w:rsidRPr="00113001">
              <w:rPr>
                <w:rFonts w:ascii="Cambria" w:eastAsia="Times New Roman" w:hAnsi="Cambria" w:cs="Arial"/>
                <w:b/>
                <w:bCs/>
                <w:color w:val="000000"/>
                <w:sz w:val="24"/>
                <w:szCs w:val="24"/>
                <w:lang w:eastAsia="en-IN"/>
              </w:rPr>
              <w:t>Sr. No.</w:t>
            </w:r>
          </w:p>
        </w:tc>
        <w:tc>
          <w:tcPr>
            <w:tcW w:w="3251" w:type="pct"/>
            <w:tcMar>
              <w:top w:w="0" w:type="dxa"/>
              <w:left w:w="45" w:type="dxa"/>
              <w:bottom w:w="0" w:type="dxa"/>
              <w:right w:w="45" w:type="dxa"/>
            </w:tcMar>
            <w:vAlign w:val="center"/>
            <w:hideMark/>
          </w:tcPr>
          <w:p w14:paraId="45A342A9" w14:textId="77777777" w:rsidR="00AC0EFA" w:rsidRPr="00113001" w:rsidRDefault="00AC0EFA" w:rsidP="004F2E3C">
            <w:pPr>
              <w:spacing w:after="0" w:line="240" w:lineRule="auto"/>
              <w:jc w:val="both"/>
              <w:rPr>
                <w:rFonts w:ascii="Cambria" w:eastAsia="Times New Roman" w:hAnsi="Cambria" w:cs="Arial"/>
                <w:b/>
                <w:bCs/>
                <w:color w:val="000000"/>
                <w:sz w:val="24"/>
                <w:szCs w:val="24"/>
                <w:lang w:eastAsia="en-IN"/>
              </w:rPr>
            </w:pPr>
            <w:r w:rsidRPr="00113001">
              <w:rPr>
                <w:rFonts w:ascii="Cambria" w:eastAsia="Times New Roman" w:hAnsi="Cambria" w:cs="Arial"/>
                <w:b/>
                <w:bCs/>
                <w:color w:val="000000"/>
                <w:sz w:val="24"/>
                <w:szCs w:val="24"/>
                <w:lang w:eastAsia="en-IN"/>
              </w:rPr>
              <w:t>Nature of debt securities/issuer</w:t>
            </w:r>
          </w:p>
        </w:tc>
        <w:tc>
          <w:tcPr>
            <w:tcW w:w="1350" w:type="pct"/>
            <w:tcMar>
              <w:top w:w="0" w:type="dxa"/>
              <w:left w:w="45" w:type="dxa"/>
              <w:bottom w:w="0" w:type="dxa"/>
              <w:right w:w="45" w:type="dxa"/>
            </w:tcMar>
            <w:vAlign w:val="center"/>
            <w:hideMark/>
          </w:tcPr>
          <w:p w14:paraId="234122E4" w14:textId="77777777" w:rsidR="00AC0EFA" w:rsidRPr="00113001" w:rsidRDefault="00AC0EFA" w:rsidP="004F2E3C">
            <w:pPr>
              <w:spacing w:after="0" w:line="240" w:lineRule="auto"/>
              <w:jc w:val="both"/>
              <w:rPr>
                <w:rFonts w:ascii="Cambria" w:eastAsia="Times New Roman" w:hAnsi="Cambria" w:cs="Arial"/>
                <w:b/>
                <w:bCs/>
                <w:color w:val="000000"/>
                <w:sz w:val="24"/>
                <w:szCs w:val="24"/>
                <w:lang w:eastAsia="en-IN"/>
              </w:rPr>
            </w:pPr>
            <w:r w:rsidRPr="00113001">
              <w:rPr>
                <w:rFonts w:ascii="Cambria" w:eastAsia="Times New Roman" w:hAnsi="Cambria" w:cs="Arial"/>
                <w:b/>
                <w:bCs/>
                <w:color w:val="000000"/>
                <w:sz w:val="24"/>
                <w:szCs w:val="24"/>
                <w:lang w:eastAsia="en-IN"/>
              </w:rPr>
              <w:t>Table to be followed</w:t>
            </w:r>
            <w:r w:rsidRPr="00113001">
              <w:rPr>
                <w:rFonts w:ascii="Cambria" w:eastAsia="Times New Roman" w:hAnsi="Cambria" w:cs="Arial"/>
                <w:b/>
                <w:bCs/>
                <w:color w:val="000000"/>
                <w:sz w:val="24"/>
                <w:szCs w:val="24"/>
                <w:lang w:eastAsia="en-IN"/>
              </w:rPr>
              <w:br/>
              <w:t>(details in </w:t>
            </w:r>
            <w:hyperlink r:id="rId8" w:anchor="A_1" w:history="1">
              <w:r w:rsidRPr="00113001">
                <w:rPr>
                  <w:rFonts w:ascii="Cambria" w:eastAsia="Times New Roman" w:hAnsi="Cambria" w:cs="Arial"/>
                  <w:b/>
                  <w:bCs/>
                  <w:color w:val="0000FF"/>
                  <w:sz w:val="24"/>
                  <w:szCs w:val="24"/>
                  <w:u w:val="single"/>
                  <w:lang w:eastAsia="en-IN"/>
                </w:rPr>
                <w:t>Annex</w:t>
              </w:r>
            </w:hyperlink>
            <w:r w:rsidRPr="00113001">
              <w:rPr>
                <w:rFonts w:ascii="Cambria" w:eastAsia="Times New Roman" w:hAnsi="Cambria" w:cs="Arial"/>
                <w:b/>
                <w:bCs/>
                <w:color w:val="000000"/>
                <w:sz w:val="24"/>
                <w:szCs w:val="24"/>
                <w:lang w:eastAsia="en-IN"/>
              </w:rPr>
              <w:t>)</w:t>
            </w:r>
          </w:p>
        </w:tc>
      </w:tr>
      <w:tr w:rsidR="00AC0EFA" w:rsidRPr="00113001" w14:paraId="591A2EFA" w14:textId="77777777" w:rsidTr="00D52BE8">
        <w:trPr>
          <w:trHeight w:val="362"/>
          <w:jc w:val="center"/>
        </w:trPr>
        <w:tc>
          <w:tcPr>
            <w:tcW w:w="0" w:type="auto"/>
            <w:tcMar>
              <w:top w:w="0" w:type="dxa"/>
              <w:left w:w="45" w:type="dxa"/>
              <w:bottom w:w="0" w:type="dxa"/>
              <w:right w:w="45" w:type="dxa"/>
            </w:tcMar>
            <w:vAlign w:val="center"/>
            <w:hideMark/>
          </w:tcPr>
          <w:p w14:paraId="13C3A954"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a</w:t>
            </w:r>
          </w:p>
        </w:tc>
        <w:tc>
          <w:tcPr>
            <w:tcW w:w="0" w:type="auto"/>
            <w:tcMar>
              <w:top w:w="0" w:type="dxa"/>
              <w:left w:w="45" w:type="dxa"/>
              <w:bottom w:w="0" w:type="dxa"/>
              <w:right w:w="45" w:type="dxa"/>
            </w:tcMar>
            <w:vAlign w:val="center"/>
            <w:hideMark/>
          </w:tcPr>
          <w:p w14:paraId="5443B403"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Central, State and Foreign Central Governments’ bonds</w:t>
            </w:r>
          </w:p>
        </w:tc>
        <w:tc>
          <w:tcPr>
            <w:tcW w:w="0" w:type="auto"/>
            <w:tcMar>
              <w:top w:w="0" w:type="dxa"/>
              <w:left w:w="45" w:type="dxa"/>
              <w:bottom w:w="0" w:type="dxa"/>
              <w:right w:w="45" w:type="dxa"/>
            </w:tcMar>
            <w:vAlign w:val="center"/>
            <w:hideMark/>
          </w:tcPr>
          <w:p w14:paraId="445DAF48"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Table 16 – Part B</w:t>
            </w:r>
          </w:p>
        </w:tc>
      </w:tr>
      <w:tr w:rsidR="00AC0EFA" w:rsidRPr="00113001" w14:paraId="6D01C965" w14:textId="77777777" w:rsidTr="00D52BE8">
        <w:trPr>
          <w:trHeight w:val="171"/>
          <w:jc w:val="center"/>
        </w:trPr>
        <w:tc>
          <w:tcPr>
            <w:tcW w:w="0" w:type="auto"/>
            <w:tcMar>
              <w:top w:w="0" w:type="dxa"/>
              <w:left w:w="45" w:type="dxa"/>
              <w:bottom w:w="0" w:type="dxa"/>
              <w:right w:w="45" w:type="dxa"/>
            </w:tcMar>
            <w:vAlign w:val="center"/>
            <w:hideMark/>
          </w:tcPr>
          <w:p w14:paraId="5C891425"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b</w:t>
            </w:r>
          </w:p>
        </w:tc>
        <w:tc>
          <w:tcPr>
            <w:tcW w:w="0" w:type="auto"/>
            <w:tcMar>
              <w:top w:w="0" w:type="dxa"/>
              <w:left w:w="45" w:type="dxa"/>
              <w:bottom w:w="0" w:type="dxa"/>
              <w:right w:w="45" w:type="dxa"/>
            </w:tcMar>
            <w:vAlign w:val="center"/>
            <w:hideMark/>
          </w:tcPr>
          <w:p w14:paraId="11D6BBCA"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Banks’ Bonds</w:t>
            </w:r>
          </w:p>
        </w:tc>
        <w:tc>
          <w:tcPr>
            <w:tcW w:w="0" w:type="auto"/>
            <w:tcMar>
              <w:top w:w="0" w:type="dxa"/>
              <w:left w:w="45" w:type="dxa"/>
              <w:bottom w:w="0" w:type="dxa"/>
              <w:right w:w="45" w:type="dxa"/>
            </w:tcMar>
            <w:vAlign w:val="center"/>
            <w:hideMark/>
          </w:tcPr>
          <w:p w14:paraId="75EF00E2"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Table 16 – Part D</w:t>
            </w:r>
          </w:p>
        </w:tc>
      </w:tr>
      <w:tr w:rsidR="00AC0EFA" w:rsidRPr="00113001" w14:paraId="550AC030" w14:textId="77777777" w:rsidTr="00D52BE8">
        <w:trPr>
          <w:trHeight w:val="362"/>
          <w:jc w:val="center"/>
        </w:trPr>
        <w:tc>
          <w:tcPr>
            <w:tcW w:w="0" w:type="auto"/>
            <w:tcMar>
              <w:top w:w="0" w:type="dxa"/>
              <w:left w:w="45" w:type="dxa"/>
              <w:bottom w:w="0" w:type="dxa"/>
              <w:right w:w="45" w:type="dxa"/>
            </w:tcMar>
            <w:vAlign w:val="center"/>
            <w:hideMark/>
          </w:tcPr>
          <w:p w14:paraId="78982C16"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c</w:t>
            </w:r>
          </w:p>
        </w:tc>
        <w:tc>
          <w:tcPr>
            <w:tcW w:w="0" w:type="auto"/>
            <w:tcMar>
              <w:top w:w="0" w:type="dxa"/>
              <w:left w:w="45" w:type="dxa"/>
              <w:bottom w:w="0" w:type="dxa"/>
              <w:right w:w="45" w:type="dxa"/>
            </w:tcMar>
            <w:vAlign w:val="center"/>
            <w:hideMark/>
          </w:tcPr>
          <w:p w14:paraId="00E046B3"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Corporate Bonds (other than Bank Bonds)</w:t>
            </w:r>
          </w:p>
        </w:tc>
        <w:tc>
          <w:tcPr>
            <w:tcW w:w="0" w:type="auto"/>
            <w:tcMar>
              <w:top w:w="0" w:type="dxa"/>
              <w:left w:w="45" w:type="dxa"/>
              <w:bottom w:w="0" w:type="dxa"/>
              <w:right w:w="45" w:type="dxa"/>
            </w:tcMar>
            <w:vAlign w:val="center"/>
            <w:hideMark/>
          </w:tcPr>
          <w:p w14:paraId="3704FA80"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Table 16 - Part E(ii)</w:t>
            </w:r>
          </w:p>
        </w:tc>
      </w:tr>
    </w:tbl>
    <w:p w14:paraId="01081EAD" w14:textId="77777777" w:rsidR="00AC0EFA" w:rsidRPr="00113001" w:rsidRDefault="00AC0EFA" w:rsidP="004F2E3C">
      <w:pPr>
        <w:spacing w:after="0" w:line="240" w:lineRule="auto"/>
        <w:jc w:val="both"/>
        <w:rPr>
          <w:rFonts w:ascii="Cambria" w:hAnsi="Cambria"/>
          <w:sz w:val="24"/>
          <w:szCs w:val="24"/>
        </w:rPr>
      </w:pPr>
    </w:p>
    <w:p w14:paraId="690A3B1A" w14:textId="65156672"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b) In case of debt mutual fund/ETF which contains a mix of the above debt instruments, the specific risk capital charge shall be computed based on the lowest rated debt instrument/ instrument attracting the highest specific risk capital charge in the fund.</w:t>
      </w:r>
    </w:p>
    <w:p w14:paraId="488A328E" w14:textId="77777777" w:rsidR="00AC0EFA" w:rsidRPr="00113001" w:rsidRDefault="00AC0EFA" w:rsidP="004F2E3C">
      <w:pPr>
        <w:spacing w:after="0" w:line="240" w:lineRule="auto"/>
        <w:jc w:val="both"/>
        <w:rPr>
          <w:rFonts w:ascii="Cambria" w:hAnsi="Cambria"/>
          <w:sz w:val="24"/>
          <w:szCs w:val="24"/>
        </w:rPr>
      </w:pPr>
    </w:p>
    <w:p w14:paraId="0A7CEC28" w14:textId="0FF95643" w:rsidR="00006EDF"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c) Debt mutual fund/ETF for which constituent debt details are not available, at least as of each month-end, shall continue to be treated on par with equity for computation of capital charge for market risk as prescribed in para 8.4.1 of Master Circular on Basel III Capital Regulations.</w:t>
      </w:r>
    </w:p>
    <w:p w14:paraId="6B6F0D92" w14:textId="1E6893F3" w:rsidR="004F2E3C" w:rsidRPr="00113001" w:rsidRDefault="004F2E3C" w:rsidP="004F2E3C">
      <w:pPr>
        <w:spacing w:after="0" w:line="240" w:lineRule="auto"/>
        <w:jc w:val="both"/>
        <w:rPr>
          <w:rFonts w:ascii="Cambria" w:hAnsi="Cambria"/>
          <w:sz w:val="24"/>
          <w:szCs w:val="24"/>
        </w:rPr>
      </w:pPr>
    </w:p>
    <w:p w14:paraId="0AFF8E9D"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2D009923" w14:textId="0AF32452" w:rsidR="004F2E3C" w:rsidRPr="00113001" w:rsidRDefault="00C4674F" w:rsidP="004F2E3C">
      <w:pPr>
        <w:spacing w:after="0" w:line="240" w:lineRule="auto"/>
        <w:jc w:val="both"/>
        <w:rPr>
          <w:rFonts w:ascii="Cambria" w:hAnsi="Cambria"/>
          <w:sz w:val="24"/>
          <w:szCs w:val="24"/>
        </w:rPr>
      </w:pPr>
      <w:hyperlink r:id="rId9" w:history="1">
        <w:r w:rsidR="004F2E3C" w:rsidRPr="00113001">
          <w:rPr>
            <w:rStyle w:val="Hyperlink"/>
            <w:rFonts w:ascii="Cambria" w:hAnsi="Cambria"/>
            <w:sz w:val="24"/>
            <w:szCs w:val="24"/>
          </w:rPr>
          <w:t>https://www.rbi.org.in/Scripts/NotificationUser.aspx?Id=11943&amp;Mode=0</w:t>
        </w:r>
      </w:hyperlink>
      <w:r w:rsidR="004F2E3C" w:rsidRPr="00113001">
        <w:rPr>
          <w:rFonts w:ascii="Cambria" w:hAnsi="Cambria"/>
          <w:sz w:val="24"/>
          <w:szCs w:val="24"/>
        </w:rPr>
        <w:t xml:space="preserve"> </w:t>
      </w:r>
    </w:p>
    <w:p w14:paraId="64A1FD45" w14:textId="6384EC18" w:rsidR="00902F9B" w:rsidRPr="00113001" w:rsidRDefault="00902F9B" w:rsidP="004F2E3C">
      <w:pPr>
        <w:pBdr>
          <w:bottom w:val="single" w:sz="12" w:space="1" w:color="auto"/>
        </w:pBdr>
        <w:spacing w:after="0" w:line="240" w:lineRule="auto"/>
        <w:jc w:val="both"/>
        <w:rPr>
          <w:rFonts w:ascii="Cambria" w:hAnsi="Cambria"/>
          <w:sz w:val="24"/>
          <w:szCs w:val="24"/>
        </w:rPr>
      </w:pPr>
    </w:p>
    <w:p w14:paraId="4437C53D" w14:textId="3F98CAFE" w:rsidR="00B24EBE" w:rsidRPr="00113001" w:rsidRDefault="00B24EBE" w:rsidP="004F2E3C">
      <w:pPr>
        <w:spacing w:after="0" w:line="240" w:lineRule="auto"/>
        <w:jc w:val="both"/>
        <w:rPr>
          <w:rFonts w:ascii="Cambria" w:hAnsi="Cambria"/>
          <w:sz w:val="24"/>
          <w:szCs w:val="24"/>
        </w:rPr>
      </w:pPr>
    </w:p>
    <w:p w14:paraId="49D4EA2F" w14:textId="77777777" w:rsidR="00B24EBE" w:rsidRPr="00113001" w:rsidRDefault="00B24EBE" w:rsidP="004F2E3C">
      <w:pPr>
        <w:spacing w:after="0" w:line="240" w:lineRule="auto"/>
        <w:jc w:val="both"/>
        <w:rPr>
          <w:rFonts w:ascii="Cambria" w:hAnsi="Cambria"/>
          <w:b/>
          <w:bCs/>
          <w:sz w:val="24"/>
          <w:szCs w:val="24"/>
        </w:rPr>
      </w:pPr>
      <w:r w:rsidRPr="00113001">
        <w:rPr>
          <w:rFonts w:ascii="Cambria" w:hAnsi="Cambria"/>
          <w:b/>
          <w:bCs/>
          <w:sz w:val="24"/>
          <w:szCs w:val="24"/>
        </w:rPr>
        <w:t>Basel III Capital Regulations - Review of transitional arrangements</w:t>
      </w:r>
    </w:p>
    <w:p w14:paraId="58ACC748" w14:textId="77777777" w:rsidR="00D52BE8" w:rsidRPr="00113001" w:rsidRDefault="00D52BE8" w:rsidP="004F2E3C">
      <w:pPr>
        <w:spacing w:after="0" w:line="240" w:lineRule="auto"/>
        <w:jc w:val="both"/>
        <w:rPr>
          <w:rFonts w:ascii="Cambria" w:hAnsi="Cambria"/>
          <w:sz w:val="24"/>
          <w:szCs w:val="24"/>
        </w:rPr>
      </w:pPr>
    </w:p>
    <w:p w14:paraId="234C5AE6" w14:textId="0198A98A"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RBI/2020-21/42 </w:t>
      </w:r>
      <w:proofErr w:type="spellStart"/>
      <w:r w:rsidRPr="00113001">
        <w:rPr>
          <w:rFonts w:ascii="Cambria" w:hAnsi="Cambria"/>
          <w:sz w:val="24"/>
          <w:szCs w:val="24"/>
        </w:rPr>
        <w:t>DOR.BP.BC.No15</w:t>
      </w:r>
      <w:proofErr w:type="spellEnd"/>
      <w:r w:rsidRPr="00113001">
        <w:rPr>
          <w:rFonts w:ascii="Cambria" w:hAnsi="Cambria"/>
          <w:sz w:val="24"/>
          <w:szCs w:val="24"/>
        </w:rPr>
        <w:t>/21.06.201/2020-21</w:t>
      </w:r>
    </w:p>
    <w:p w14:paraId="39B1CE27"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September 29, 2020</w:t>
      </w:r>
    </w:p>
    <w:p w14:paraId="753E8395" w14:textId="77777777" w:rsidR="00B24EBE" w:rsidRPr="00113001" w:rsidRDefault="00B24EBE" w:rsidP="004F2E3C">
      <w:pPr>
        <w:spacing w:after="0" w:line="240" w:lineRule="auto"/>
        <w:jc w:val="both"/>
        <w:rPr>
          <w:rFonts w:ascii="Cambria" w:hAnsi="Cambria"/>
          <w:sz w:val="24"/>
          <w:szCs w:val="24"/>
        </w:rPr>
      </w:pPr>
    </w:p>
    <w:p w14:paraId="279A68F9" w14:textId="36B0550F"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All Commercial Banks (Excluding Small Finance Banks, Payment Banks, </w:t>
      </w:r>
      <w:proofErr w:type="spellStart"/>
      <w:r w:rsidRPr="00113001">
        <w:rPr>
          <w:rFonts w:ascii="Cambria" w:hAnsi="Cambria"/>
          <w:sz w:val="24"/>
          <w:szCs w:val="24"/>
        </w:rPr>
        <w:t>RRBs</w:t>
      </w:r>
      <w:proofErr w:type="spellEnd"/>
      <w:r w:rsidRPr="00113001">
        <w:rPr>
          <w:rFonts w:ascii="Cambria" w:hAnsi="Cambria"/>
          <w:sz w:val="24"/>
          <w:szCs w:val="24"/>
        </w:rPr>
        <w:t xml:space="preserve"> and </w:t>
      </w:r>
      <w:proofErr w:type="spellStart"/>
      <w:r w:rsidRPr="00113001">
        <w:rPr>
          <w:rFonts w:ascii="Cambria" w:hAnsi="Cambria"/>
          <w:sz w:val="24"/>
          <w:szCs w:val="24"/>
        </w:rPr>
        <w:t>LABs</w:t>
      </w:r>
      <w:proofErr w:type="spellEnd"/>
      <w:r w:rsidRPr="00113001">
        <w:rPr>
          <w:rFonts w:ascii="Cambria" w:hAnsi="Cambria"/>
          <w:sz w:val="24"/>
          <w:szCs w:val="24"/>
        </w:rPr>
        <w:t>)</w:t>
      </w:r>
    </w:p>
    <w:p w14:paraId="69B9D79F" w14:textId="77777777" w:rsidR="00B24EBE" w:rsidRPr="00113001" w:rsidRDefault="00B24EBE" w:rsidP="004F2E3C">
      <w:pPr>
        <w:spacing w:after="0" w:line="240" w:lineRule="auto"/>
        <w:jc w:val="both"/>
        <w:rPr>
          <w:rFonts w:ascii="Cambria" w:hAnsi="Cambria"/>
          <w:sz w:val="24"/>
          <w:szCs w:val="24"/>
        </w:rPr>
      </w:pPr>
    </w:p>
    <w:p w14:paraId="19E40AAC"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Please refer to circular </w:t>
      </w:r>
      <w:proofErr w:type="spellStart"/>
      <w:r w:rsidRPr="00113001">
        <w:rPr>
          <w:rFonts w:ascii="Cambria" w:hAnsi="Cambria"/>
          <w:sz w:val="24"/>
          <w:szCs w:val="24"/>
        </w:rPr>
        <w:t>DOR.BP.BC.No.45</w:t>
      </w:r>
      <w:proofErr w:type="spellEnd"/>
      <w:r w:rsidRPr="00113001">
        <w:rPr>
          <w:rFonts w:ascii="Cambria" w:hAnsi="Cambria"/>
          <w:sz w:val="24"/>
          <w:szCs w:val="24"/>
        </w:rPr>
        <w:t>/21.06.201/2019-20 dated March 27, 2020 on ‘Basel III Capital Regulations - Review of transitional arrangements’.</w:t>
      </w:r>
    </w:p>
    <w:p w14:paraId="5C7A3AAE" w14:textId="77777777" w:rsidR="00B24EBE" w:rsidRPr="00113001" w:rsidRDefault="00B24EBE" w:rsidP="004F2E3C">
      <w:pPr>
        <w:spacing w:after="0" w:line="240" w:lineRule="auto"/>
        <w:jc w:val="both"/>
        <w:rPr>
          <w:rFonts w:ascii="Cambria" w:hAnsi="Cambria"/>
          <w:sz w:val="24"/>
          <w:szCs w:val="24"/>
        </w:rPr>
      </w:pPr>
    </w:p>
    <w:p w14:paraId="582A0904"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2. In view of the continuing stress on account of COVID-19, it has been decided to defer the implementation of the last tranche of 0.625 per cent of the Capital Conservation Buffer (</w:t>
      </w:r>
      <w:proofErr w:type="spellStart"/>
      <w:r w:rsidRPr="00113001">
        <w:rPr>
          <w:rFonts w:ascii="Cambria" w:hAnsi="Cambria"/>
          <w:sz w:val="24"/>
          <w:szCs w:val="24"/>
        </w:rPr>
        <w:t>CCB</w:t>
      </w:r>
      <w:proofErr w:type="spellEnd"/>
      <w:r w:rsidRPr="00113001">
        <w:rPr>
          <w:rFonts w:ascii="Cambria" w:hAnsi="Cambria"/>
          <w:sz w:val="24"/>
          <w:szCs w:val="24"/>
        </w:rPr>
        <w:t xml:space="preserve">) from September 30, 2020 to April 1, 2021. Accordingly, the minimum capital conservation ratios in para 15.2.2 of Part D ‘Capital Conservation Buffer Framework’ of Master Circular, </w:t>
      </w:r>
      <w:proofErr w:type="spellStart"/>
      <w:r w:rsidRPr="00113001">
        <w:rPr>
          <w:rFonts w:ascii="Cambria" w:hAnsi="Cambria"/>
          <w:sz w:val="24"/>
          <w:szCs w:val="24"/>
        </w:rPr>
        <w:t>DBR.No.BP.BC.1</w:t>
      </w:r>
      <w:proofErr w:type="spellEnd"/>
      <w:r w:rsidRPr="00113001">
        <w:rPr>
          <w:rFonts w:ascii="Cambria" w:hAnsi="Cambria"/>
          <w:sz w:val="24"/>
          <w:szCs w:val="24"/>
        </w:rPr>
        <w:t xml:space="preserve">/21.06.201/2015-16 dated July 1, 2015 on ‘Basel III Capital Regulations’, shall continue to apply till the </w:t>
      </w:r>
      <w:proofErr w:type="spellStart"/>
      <w:r w:rsidRPr="00113001">
        <w:rPr>
          <w:rFonts w:ascii="Cambria" w:hAnsi="Cambria"/>
          <w:sz w:val="24"/>
          <w:szCs w:val="24"/>
        </w:rPr>
        <w:t>CCB</w:t>
      </w:r>
      <w:proofErr w:type="spellEnd"/>
      <w:r w:rsidRPr="00113001">
        <w:rPr>
          <w:rFonts w:ascii="Cambria" w:hAnsi="Cambria"/>
          <w:sz w:val="24"/>
          <w:szCs w:val="24"/>
        </w:rPr>
        <w:t xml:space="preserve"> attains the level of 2.5 per cent on April 1, 2021.</w:t>
      </w:r>
    </w:p>
    <w:p w14:paraId="5FA8B631" w14:textId="77777777" w:rsidR="00B24EBE" w:rsidRPr="00113001" w:rsidRDefault="00B24EBE" w:rsidP="004F2E3C">
      <w:pPr>
        <w:spacing w:after="0" w:line="240" w:lineRule="auto"/>
        <w:jc w:val="both"/>
        <w:rPr>
          <w:rFonts w:ascii="Cambria" w:hAnsi="Cambria"/>
          <w:sz w:val="24"/>
          <w:szCs w:val="24"/>
        </w:rPr>
      </w:pPr>
    </w:p>
    <w:p w14:paraId="6DCA9B3B" w14:textId="25BBF33F"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3. The pre-specified trigger for loss absorption through conversion / write-down of Additional Tier 1 instruments (Perpetual Non-Convertible Preference Shares and Perpetual Debt Instruments), shall remain at 5.5 per cent of risk weighted assets (</w:t>
      </w:r>
      <w:proofErr w:type="spellStart"/>
      <w:r w:rsidRPr="00113001">
        <w:rPr>
          <w:rFonts w:ascii="Cambria" w:hAnsi="Cambria"/>
          <w:sz w:val="24"/>
          <w:szCs w:val="24"/>
        </w:rPr>
        <w:t>RWAs</w:t>
      </w:r>
      <w:proofErr w:type="spellEnd"/>
      <w:r w:rsidRPr="00113001">
        <w:rPr>
          <w:rFonts w:ascii="Cambria" w:hAnsi="Cambria"/>
          <w:sz w:val="24"/>
          <w:szCs w:val="24"/>
        </w:rPr>
        <w:t xml:space="preserve">) and will rise to 6.125 per cent of </w:t>
      </w:r>
      <w:proofErr w:type="spellStart"/>
      <w:r w:rsidRPr="00113001">
        <w:rPr>
          <w:rFonts w:ascii="Cambria" w:hAnsi="Cambria"/>
          <w:sz w:val="24"/>
          <w:szCs w:val="24"/>
        </w:rPr>
        <w:t>RWAs</w:t>
      </w:r>
      <w:proofErr w:type="spellEnd"/>
      <w:r w:rsidRPr="00113001">
        <w:rPr>
          <w:rFonts w:ascii="Cambria" w:hAnsi="Cambria"/>
          <w:sz w:val="24"/>
          <w:szCs w:val="24"/>
        </w:rPr>
        <w:t xml:space="preserve"> from April 1, 2021.</w:t>
      </w:r>
    </w:p>
    <w:p w14:paraId="366F86B6" w14:textId="6F8FD140" w:rsidR="00B24EBE" w:rsidRPr="00113001" w:rsidRDefault="00B24EBE" w:rsidP="004F2E3C">
      <w:pPr>
        <w:pBdr>
          <w:bottom w:val="single" w:sz="12" w:space="1" w:color="auto"/>
        </w:pBdr>
        <w:spacing w:after="0" w:line="240" w:lineRule="auto"/>
        <w:jc w:val="both"/>
        <w:rPr>
          <w:rFonts w:ascii="Cambria" w:hAnsi="Cambria"/>
          <w:sz w:val="24"/>
          <w:szCs w:val="24"/>
        </w:rPr>
      </w:pPr>
    </w:p>
    <w:p w14:paraId="695DD559" w14:textId="4FCEB2E3" w:rsidR="00B24EBE" w:rsidRPr="00113001" w:rsidRDefault="00B24EBE" w:rsidP="004F2E3C">
      <w:pPr>
        <w:spacing w:after="0" w:line="240" w:lineRule="auto"/>
        <w:jc w:val="both"/>
        <w:rPr>
          <w:rFonts w:ascii="Cambria" w:hAnsi="Cambria"/>
          <w:sz w:val="24"/>
          <w:szCs w:val="24"/>
        </w:rPr>
      </w:pPr>
    </w:p>
    <w:p w14:paraId="68708498" w14:textId="5221DFF1" w:rsidR="00B24EBE" w:rsidRPr="00113001" w:rsidRDefault="00B24EBE" w:rsidP="004F2E3C">
      <w:pPr>
        <w:spacing w:after="0" w:line="240" w:lineRule="auto"/>
        <w:jc w:val="both"/>
        <w:rPr>
          <w:rFonts w:ascii="Cambria" w:hAnsi="Cambria"/>
          <w:b/>
          <w:bCs/>
          <w:sz w:val="24"/>
          <w:szCs w:val="24"/>
        </w:rPr>
      </w:pPr>
      <w:r w:rsidRPr="00113001">
        <w:rPr>
          <w:rFonts w:ascii="Cambria" w:hAnsi="Cambria"/>
          <w:b/>
          <w:bCs/>
          <w:sz w:val="24"/>
          <w:szCs w:val="24"/>
        </w:rPr>
        <w:t>Basel III Framework on Liquidity Standards – Net Stable Funding Ratio (</w:t>
      </w:r>
      <w:proofErr w:type="spellStart"/>
      <w:r w:rsidRPr="00113001">
        <w:rPr>
          <w:rFonts w:ascii="Cambria" w:hAnsi="Cambria"/>
          <w:b/>
          <w:bCs/>
          <w:sz w:val="24"/>
          <w:szCs w:val="24"/>
        </w:rPr>
        <w:t>NSFR</w:t>
      </w:r>
      <w:proofErr w:type="spellEnd"/>
      <w:r w:rsidRPr="00113001">
        <w:rPr>
          <w:rFonts w:ascii="Cambria" w:hAnsi="Cambria"/>
          <w:b/>
          <w:bCs/>
          <w:sz w:val="24"/>
          <w:szCs w:val="24"/>
        </w:rPr>
        <w:t>)</w:t>
      </w:r>
    </w:p>
    <w:p w14:paraId="1EFB6DD7" w14:textId="77777777" w:rsidR="00D52BE8" w:rsidRPr="00113001" w:rsidRDefault="00D52BE8" w:rsidP="004F2E3C">
      <w:pPr>
        <w:spacing w:after="0" w:line="240" w:lineRule="auto"/>
        <w:jc w:val="both"/>
        <w:rPr>
          <w:rFonts w:ascii="Cambria" w:hAnsi="Cambria"/>
          <w:sz w:val="24"/>
          <w:szCs w:val="24"/>
        </w:rPr>
      </w:pPr>
    </w:p>
    <w:p w14:paraId="5280A647" w14:textId="7765FF2E"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RBI/2020-21/43 </w:t>
      </w:r>
      <w:proofErr w:type="spellStart"/>
      <w:r w:rsidRPr="00113001">
        <w:rPr>
          <w:rFonts w:ascii="Cambria" w:hAnsi="Cambria"/>
          <w:sz w:val="24"/>
          <w:szCs w:val="24"/>
        </w:rPr>
        <w:t>DOR.BP.BC.No.16</w:t>
      </w:r>
      <w:proofErr w:type="spellEnd"/>
      <w:r w:rsidRPr="00113001">
        <w:rPr>
          <w:rFonts w:ascii="Cambria" w:hAnsi="Cambria"/>
          <w:sz w:val="24"/>
          <w:szCs w:val="24"/>
        </w:rPr>
        <w:t>/21.04.098/2020-21</w:t>
      </w:r>
    </w:p>
    <w:p w14:paraId="0E1611A2"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September 29, 2020</w:t>
      </w:r>
    </w:p>
    <w:p w14:paraId="7FAF3B08" w14:textId="77777777" w:rsidR="00B24EBE" w:rsidRPr="00113001" w:rsidRDefault="00B24EBE" w:rsidP="004F2E3C">
      <w:pPr>
        <w:spacing w:after="0" w:line="240" w:lineRule="auto"/>
        <w:jc w:val="both"/>
        <w:rPr>
          <w:rFonts w:ascii="Cambria" w:hAnsi="Cambria"/>
          <w:sz w:val="24"/>
          <w:szCs w:val="24"/>
        </w:rPr>
      </w:pPr>
    </w:p>
    <w:p w14:paraId="2C663B26" w14:textId="45906C4B"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All Commercial Banks (excluding Regional Rural Banks, Local Area Banks and Payments Banks)</w:t>
      </w:r>
    </w:p>
    <w:p w14:paraId="68F7E570" w14:textId="77777777" w:rsidR="00B24EBE" w:rsidRPr="00113001" w:rsidRDefault="00B24EBE" w:rsidP="004F2E3C">
      <w:pPr>
        <w:spacing w:after="0" w:line="240" w:lineRule="auto"/>
        <w:jc w:val="both"/>
        <w:rPr>
          <w:rFonts w:ascii="Cambria" w:hAnsi="Cambria"/>
          <w:sz w:val="24"/>
          <w:szCs w:val="24"/>
        </w:rPr>
      </w:pPr>
    </w:p>
    <w:p w14:paraId="1A31807B"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Please refer to our circular </w:t>
      </w:r>
      <w:proofErr w:type="spellStart"/>
      <w:r w:rsidRPr="00113001">
        <w:rPr>
          <w:rFonts w:ascii="Cambria" w:hAnsi="Cambria"/>
          <w:sz w:val="24"/>
          <w:szCs w:val="24"/>
        </w:rPr>
        <w:t>DOR.BP.BC.No.46</w:t>
      </w:r>
      <w:proofErr w:type="spellEnd"/>
      <w:r w:rsidRPr="00113001">
        <w:rPr>
          <w:rFonts w:ascii="Cambria" w:hAnsi="Cambria"/>
          <w:sz w:val="24"/>
          <w:szCs w:val="24"/>
        </w:rPr>
        <w:t>/21.04.098/2019-20 dated March 27, 2020 on Net Stable Funding Ratio (</w:t>
      </w:r>
      <w:proofErr w:type="spellStart"/>
      <w:r w:rsidRPr="00113001">
        <w:rPr>
          <w:rFonts w:ascii="Cambria" w:hAnsi="Cambria"/>
          <w:sz w:val="24"/>
          <w:szCs w:val="24"/>
        </w:rPr>
        <w:t>NSFR</w:t>
      </w:r>
      <w:proofErr w:type="spellEnd"/>
      <w:r w:rsidRPr="00113001">
        <w:rPr>
          <w:rFonts w:ascii="Cambria" w:hAnsi="Cambria"/>
          <w:sz w:val="24"/>
          <w:szCs w:val="24"/>
        </w:rPr>
        <w:t>) guidelines.</w:t>
      </w:r>
    </w:p>
    <w:p w14:paraId="781AB078" w14:textId="77777777" w:rsidR="00B24EBE" w:rsidRPr="00113001" w:rsidRDefault="00B24EBE" w:rsidP="004F2E3C">
      <w:pPr>
        <w:spacing w:after="0" w:line="240" w:lineRule="auto"/>
        <w:jc w:val="both"/>
        <w:rPr>
          <w:rFonts w:ascii="Cambria" w:hAnsi="Cambria"/>
          <w:sz w:val="24"/>
          <w:szCs w:val="24"/>
        </w:rPr>
      </w:pPr>
    </w:p>
    <w:p w14:paraId="47B19C76" w14:textId="50976345"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2. In view of the continued uncertainty on account of COVID-19, on a review, it has been decided to defer the implementation of </w:t>
      </w:r>
      <w:proofErr w:type="spellStart"/>
      <w:r w:rsidRPr="00113001">
        <w:rPr>
          <w:rFonts w:ascii="Cambria" w:hAnsi="Cambria"/>
          <w:sz w:val="24"/>
          <w:szCs w:val="24"/>
        </w:rPr>
        <w:t>NSFR</w:t>
      </w:r>
      <w:proofErr w:type="spellEnd"/>
      <w:r w:rsidRPr="00113001">
        <w:rPr>
          <w:rFonts w:ascii="Cambria" w:hAnsi="Cambria"/>
          <w:sz w:val="24"/>
          <w:szCs w:val="24"/>
        </w:rPr>
        <w:t xml:space="preserve"> guidelines by a further period of six months. These guidelines shall now come into effect from April 1, 2021.</w:t>
      </w:r>
    </w:p>
    <w:p w14:paraId="5AC828BA" w14:textId="4BCF5F88" w:rsidR="00B24EBE" w:rsidRPr="00113001" w:rsidRDefault="00B24EBE" w:rsidP="004F2E3C">
      <w:pPr>
        <w:pBdr>
          <w:bottom w:val="single" w:sz="12" w:space="1" w:color="auto"/>
        </w:pBdr>
        <w:spacing w:after="0" w:line="240" w:lineRule="auto"/>
        <w:jc w:val="both"/>
        <w:rPr>
          <w:rFonts w:ascii="Cambria" w:hAnsi="Cambria"/>
          <w:sz w:val="24"/>
          <w:szCs w:val="24"/>
        </w:rPr>
      </w:pPr>
    </w:p>
    <w:p w14:paraId="285DDD8F" w14:textId="34096C60" w:rsidR="00B24EBE" w:rsidRPr="00113001" w:rsidRDefault="00B24EBE" w:rsidP="004F2E3C">
      <w:pPr>
        <w:spacing w:after="0" w:line="240" w:lineRule="auto"/>
        <w:jc w:val="both"/>
        <w:rPr>
          <w:rFonts w:ascii="Cambria" w:hAnsi="Cambria"/>
          <w:sz w:val="24"/>
          <w:szCs w:val="24"/>
        </w:rPr>
      </w:pPr>
    </w:p>
    <w:p w14:paraId="00DF1F46" w14:textId="77777777" w:rsidR="00147A38" w:rsidRPr="00113001" w:rsidRDefault="00147A38" w:rsidP="004F2E3C">
      <w:pPr>
        <w:spacing w:after="0" w:line="240" w:lineRule="auto"/>
        <w:jc w:val="both"/>
        <w:rPr>
          <w:rFonts w:ascii="Cambria" w:hAnsi="Cambria"/>
          <w:b/>
          <w:bCs/>
          <w:sz w:val="24"/>
          <w:szCs w:val="24"/>
        </w:rPr>
      </w:pPr>
      <w:r w:rsidRPr="00113001">
        <w:rPr>
          <w:rFonts w:ascii="Cambria" w:hAnsi="Cambria"/>
          <w:b/>
          <w:bCs/>
          <w:sz w:val="24"/>
          <w:szCs w:val="24"/>
        </w:rPr>
        <w:t>Foreign Exchange Management (Export and Import of Currency) (Amendment) Regulations, 2020</w:t>
      </w:r>
    </w:p>
    <w:p w14:paraId="1668E4A2" w14:textId="77777777" w:rsidR="00D52BE8" w:rsidRPr="00113001" w:rsidRDefault="00D52BE8" w:rsidP="004F2E3C">
      <w:pPr>
        <w:spacing w:after="0" w:line="240" w:lineRule="auto"/>
        <w:jc w:val="both"/>
        <w:rPr>
          <w:rFonts w:ascii="Cambria" w:hAnsi="Cambria"/>
          <w:sz w:val="24"/>
          <w:szCs w:val="24"/>
        </w:rPr>
      </w:pPr>
    </w:p>
    <w:p w14:paraId="739B4AA3" w14:textId="689AD1A0" w:rsidR="00147A38"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Notification No. FEMA 6 (R)/(2)/2020-RB</w:t>
      </w:r>
    </w:p>
    <w:p w14:paraId="23DD6B5D" w14:textId="77777777" w:rsidR="00147A38"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August 11, 2020</w:t>
      </w:r>
    </w:p>
    <w:p w14:paraId="006CA3E8" w14:textId="77777777" w:rsidR="00147A38" w:rsidRPr="00113001" w:rsidRDefault="00147A38" w:rsidP="004F2E3C">
      <w:pPr>
        <w:spacing w:after="0" w:line="240" w:lineRule="auto"/>
        <w:jc w:val="both"/>
        <w:rPr>
          <w:rFonts w:ascii="Cambria" w:hAnsi="Cambria"/>
          <w:sz w:val="24"/>
          <w:szCs w:val="24"/>
        </w:rPr>
      </w:pPr>
    </w:p>
    <w:p w14:paraId="6821D56A" w14:textId="77777777" w:rsidR="00147A38"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In exercise of the powers conferred by clause (</w:t>
      </w:r>
      <w:proofErr w:type="spellStart"/>
      <w:r w:rsidRPr="00113001">
        <w:rPr>
          <w:rFonts w:ascii="Cambria" w:hAnsi="Cambria"/>
          <w:sz w:val="24"/>
          <w:szCs w:val="24"/>
        </w:rPr>
        <w:t>ga</w:t>
      </w:r>
      <w:proofErr w:type="spellEnd"/>
      <w:r w:rsidRPr="00113001">
        <w:rPr>
          <w:rFonts w:ascii="Cambria" w:hAnsi="Cambria"/>
          <w:sz w:val="24"/>
          <w:szCs w:val="24"/>
        </w:rPr>
        <w:t>) of sub- section (2) of Section 47 of the Foreign Exchange Management Act, 1999 (42 of 1999), the Reserve Bank of India makes the following amendments to the Foreign Exchange Management (Export and Import of Currency) Regulations, 2015 (Notification No. FEMA 6 (R)/RB-2015 dated December 29, 2015) (hereinafter referred to as 'the Principal Regulations'), namely: —</w:t>
      </w:r>
    </w:p>
    <w:p w14:paraId="75052549" w14:textId="77777777" w:rsidR="00147A38" w:rsidRPr="00113001" w:rsidRDefault="00147A38" w:rsidP="004F2E3C">
      <w:pPr>
        <w:spacing w:after="0" w:line="240" w:lineRule="auto"/>
        <w:jc w:val="both"/>
        <w:rPr>
          <w:rFonts w:ascii="Cambria" w:hAnsi="Cambria"/>
          <w:sz w:val="24"/>
          <w:szCs w:val="24"/>
        </w:rPr>
      </w:pPr>
    </w:p>
    <w:p w14:paraId="6174634B" w14:textId="77777777" w:rsidR="00147A38"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1. Short title &amp; Commencement:</w:t>
      </w:r>
    </w:p>
    <w:p w14:paraId="4912252A" w14:textId="77777777" w:rsidR="00147A38" w:rsidRPr="00113001" w:rsidRDefault="00147A38" w:rsidP="004F2E3C">
      <w:pPr>
        <w:spacing w:after="0" w:line="240" w:lineRule="auto"/>
        <w:jc w:val="both"/>
        <w:rPr>
          <w:rFonts w:ascii="Cambria" w:hAnsi="Cambria"/>
          <w:sz w:val="24"/>
          <w:szCs w:val="24"/>
        </w:rPr>
      </w:pPr>
    </w:p>
    <w:p w14:paraId="58288BD5" w14:textId="76288A1C" w:rsidR="00147A38" w:rsidRPr="00113001" w:rsidRDefault="00147A38" w:rsidP="004F2E3C">
      <w:pPr>
        <w:pStyle w:val="ListParagraph"/>
        <w:numPr>
          <w:ilvl w:val="0"/>
          <w:numId w:val="11"/>
        </w:numPr>
        <w:spacing w:after="0" w:line="240" w:lineRule="auto"/>
        <w:jc w:val="both"/>
        <w:rPr>
          <w:rFonts w:ascii="Cambria" w:hAnsi="Cambria"/>
          <w:sz w:val="24"/>
          <w:szCs w:val="24"/>
        </w:rPr>
      </w:pPr>
      <w:r w:rsidRPr="00113001">
        <w:rPr>
          <w:rFonts w:ascii="Cambria" w:hAnsi="Cambria"/>
          <w:sz w:val="24"/>
          <w:szCs w:val="24"/>
        </w:rPr>
        <w:t>These Regulations may be called the Foreign Exchange Management (Export and Import of Currency) (Amendment) Regulations, 2020.</w:t>
      </w:r>
    </w:p>
    <w:p w14:paraId="7A7B307B" w14:textId="2E5500C8" w:rsidR="00147A38" w:rsidRPr="00113001" w:rsidRDefault="00147A38" w:rsidP="004F2E3C">
      <w:pPr>
        <w:pStyle w:val="ListParagraph"/>
        <w:numPr>
          <w:ilvl w:val="0"/>
          <w:numId w:val="11"/>
        </w:numPr>
        <w:spacing w:after="0" w:line="240" w:lineRule="auto"/>
        <w:jc w:val="both"/>
        <w:rPr>
          <w:rFonts w:ascii="Cambria" w:hAnsi="Cambria"/>
          <w:sz w:val="24"/>
          <w:szCs w:val="24"/>
        </w:rPr>
      </w:pPr>
      <w:r w:rsidRPr="00113001">
        <w:rPr>
          <w:rFonts w:ascii="Cambria" w:hAnsi="Cambria"/>
          <w:sz w:val="24"/>
          <w:szCs w:val="24"/>
        </w:rPr>
        <w:t>They shall come into force from the date of their publication in the Official Gazette.</w:t>
      </w:r>
    </w:p>
    <w:p w14:paraId="62FFC64F" w14:textId="77777777" w:rsidR="00147A38" w:rsidRPr="00113001" w:rsidRDefault="00147A38" w:rsidP="004F2E3C">
      <w:pPr>
        <w:spacing w:after="0" w:line="240" w:lineRule="auto"/>
        <w:jc w:val="both"/>
        <w:rPr>
          <w:rFonts w:ascii="Cambria" w:hAnsi="Cambria"/>
          <w:sz w:val="24"/>
          <w:szCs w:val="24"/>
        </w:rPr>
      </w:pPr>
    </w:p>
    <w:p w14:paraId="0967A6A2" w14:textId="77777777" w:rsidR="00147A38"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2. Amendment to Regulation 3</w:t>
      </w:r>
    </w:p>
    <w:p w14:paraId="687057D6" w14:textId="77777777" w:rsidR="00147A38" w:rsidRPr="00113001" w:rsidRDefault="00147A38" w:rsidP="004F2E3C">
      <w:pPr>
        <w:spacing w:after="0" w:line="240" w:lineRule="auto"/>
        <w:jc w:val="both"/>
        <w:rPr>
          <w:rFonts w:ascii="Cambria" w:hAnsi="Cambria"/>
          <w:sz w:val="24"/>
          <w:szCs w:val="24"/>
        </w:rPr>
      </w:pPr>
    </w:p>
    <w:p w14:paraId="38E6956B" w14:textId="77777777" w:rsidR="00147A38"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In the Principal Regulations, in Regulation 3, sub- regulation 1, the portion beginning with “Without prejudice to the provisions of sub-regulation (1)” and ending with “currency notes of Government of India and/or of Reserve Bank of India subject to the terms and conditions as the Bank may stipulate” shall be omitted.</w:t>
      </w:r>
    </w:p>
    <w:p w14:paraId="00FEFA33" w14:textId="77777777" w:rsidR="00147A38" w:rsidRPr="00113001" w:rsidRDefault="00147A38" w:rsidP="004F2E3C">
      <w:pPr>
        <w:spacing w:after="0" w:line="240" w:lineRule="auto"/>
        <w:jc w:val="both"/>
        <w:rPr>
          <w:rFonts w:ascii="Cambria" w:hAnsi="Cambria"/>
          <w:sz w:val="24"/>
          <w:szCs w:val="24"/>
        </w:rPr>
      </w:pPr>
    </w:p>
    <w:p w14:paraId="50D11F36" w14:textId="77777777" w:rsidR="00147A38"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3. Insertion of new Regulation 9</w:t>
      </w:r>
    </w:p>
    <w:p w14:paraId="01A74CAA" w14:textId="77777777" w:rsidR="00147A38" w:rsidRPr="00113001" w:rsidRDefault="00147A38" w:rsidP="004F2E3C">
      <w:pPr>
        <w:spacing w:after="0" w:line="240" w:lineRule="auto"/>
        <w:jc w:val="both"/>
        <w:rPr>
          <w:rFonts w:ascii="Cambria" w:hAnsi="Cambria"/>
          <w:sz w:val="24"/>
          <w:szCs w:val="24"/>
        </w:rPr>
      </w:pPr>
    </w:p>
    <w:p w14:paraId="0A34BFDF" w14:textId="77777777" w:rsidR="00147A38"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In the Principal Regulations, after Regulation 8, the following new regulation shall be inserted, namely, -</w:t>
      </w:r>
    </w:p>
    <w:p w14:paraId="24B184A3" w14:textId="77777777" w:rsidR="00147A38" w:rsidRPr="00113001" w:rsidRDefault="00147A38" w:rsidP="004F2E3C">
      <w:pPr>
        <w:spacing w:after="0" w:line="240" w:lineRule="auto"/>
        <w:jc w:val="both"/>
        <w:rPr>
          <w:rFonts w:ascii="Cambria" w:hAnsi="Cambria"/>
          <w:sz w:val="24"/>
          <w:szCs w:val="24"/>
        </w:rPr>
      </w:pPr>
    </w:p>
    <w:p w14:paraId="351DA137" w14:textId="493A3027" w:rsidR="00B24EBE"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“9. Reserve Bank’s power to permit export or import of currency: Notwithstanding anything contained in these regulations, the Reserve Bank may, on an application made to it and on being satisfied that it is necessary to do so, allow any person to take or send out of India to any country or bring into India from any country currency notes of Government of India and /or of Reserve Bank of India subject to such terms and conditions as the Reserve Bank may stipulate.”</w:t>
      </w:r>
    </w:p>
    <w:p w14:paraId="471DC56D" w14:textId="5A3F8CCB" w:rsidR="00B24EBE" w:rsidRPr="00113001" w:rsidRDefault="00B24EBE" w:rsidP="004F2E3C">
      <w:pPr>
        <w:pBdr>
          <w:bottom w:val="single" w:sz="12" w:space="1" w:color="auto"/>
        </w:pBdr>
        <w:spacing w:after="0" w:line="240" w:lineRule="auto"/>
        <w:jc w:val="both"/>
        <w:rPr>
          <w:rFonts w:ascii="Cambria" w:hAnsi="Cambria"/>
          <w:sz w:val="24"/>
          <w:szCs w:val="24"/>
        </w:rPr>
      </w:pPr>
    </w:p>
    <w:p w14:paraId="14ECE116" w14:textId="770F333F" w:rsidR="00B24EBE" w:rsidRPr="00113001" w:rsidRDefault="00B24EBE" w:rsidP="004F2E3C">
      <w:pPr>
        <w:spacing w:after="0" w:line="240" w:lineRule="auto"/>
        <w:jc w:val="both"/>
        <w:rPr>
          <w:rFonts w:ascii="Cambria" w:hAnsi="Cambria"/>
          <w:sz w:val="24"/>
          <w:szCs w:val="24"/>
        </w:rPr>
      </w:pPr>
    </w:p>
    <w:p w14:paraId="4D0A65AE" w14:textId="77777777" w:rsidR="00B24EBE" w:rsidRPr="00113001" w:rsidRDefault="00B24EBE" w:rsidP="004F2E3C">
      <w:pPr>
        <w:spacing w:after="0" w:line="240" w:lineRule="auto"/>
        <w:jc w:val="both"/>
        <w:rPr>
          <w:rFonts w:ascii="Cambria" w:hAnsi="Cambria"/>
          <w:b/>
          <w:bCs/>
          <w:sz w:val="24"/>
          <w:szCs w:val="24"/>
        </w:rPr>
      </w:pPr>
      <w:r w:rsidRPr="00113001">
        <w:rPr>
          <w:rFonts w:ascii="Cambria" w:hAnsi="Cambria"/>
          <w:b/>
          <w:bCs/>
          <w:sz w:val="24"/>
          <w:szCs w:val="24"/>
        </w:rPr>
        <w:t>External Trade – Facilitation - Export of Goods and Services</w:t>
      </w:r>
    </w:p>
    <w:p w14:paraId="1AC04DC4" w14:textId="77777777" w:rsidR="00D52BE8" w:rsidRPr="00113001" w:rsidRDefault="00D52BE8" w:rsidP="004F2E3C">
      <w:pPr>
        <w:spacing w:after="0" w:line="240" w:lineRule="auto"/>
        <w:jc w:val="both"/>
        <w:rPr>
          <w:rFonts w:ascii="Cambria" w:hAnsi="Cambria"/>
          <w:sz w:val="24"/>
          <w:szCs w:val="24"/>
        </w:rPr>
      </w:pPr>
    </w:p>
    <w:p w14:paraId="4620931E" w14:textId="5117D7D8"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RBI/2020-21/77 A.P. (DIR Series) Circular No. 08</w:t>
      </w:r>
    </w:p>
    <w:p w14:paraId="4AA0DE5A"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December 04, 2020</w:t>
      </w:r>
    </w:p>
    <w:p w14:paraId="187F00BC" w14:textId="77777777" w:rsidR="00B24EBE" w:rsidRPr="00113001" w:rsidRDefault="00B24EBE" w:rsidP="004F2E3C">
      <w:pPr>
        <w:spacing w:after="0" w:line="240" w:lineRule="auto"/>
        <w:jc w:val="both"/>
        <w:rPr>
          <w:rFonts w:ascii="Cambria" w:hAnsi="Cambria"/>
          <w:sz w:val="24"/>
          <w:szCs w:val="24"/>
        </w:rPr>
      </w:pPr>
    </w:p>
    <w:p w14:paraId="5B4BDE33"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To,</w:t>
      </w:r>
    </w:p>
    <w:p w14:paraId="4F8FBDA1"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All Category - I Authorised Dealer Banks</w:t>
      </w:r>
    </w:p>
    <w:p w14:paraId="586AB635" w14:textId="77777777" w:rsidR="00B24EBE" w:rsidRPr="00113001" w:rsidRDefault="00B24EBE" w:rsidP="004F2E3C">
      <w:pPr>
        <w:spacing w:after="0" w:line="240" w:lineRule="auto"/>
        <w:jc w:val="both"/>
        <w:rPr>
          <w:rFonts w:ascii="Cambria" w:hAnsi="Cambria"/>
          <w:sz w:val="24"/>
          <w:szCs w:val="24"/>
        </w:rPr>
      </w:pPr>
    </w:p>
    <w:p w14:paraId="23C8B632" w14:textId="3336A12C"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Please refer to the Statement on Development and Regulatory Polices announced as part of Bi-monthly Monetary Policy Statement dated December 4, 2020. With a view to further enhance the ease of doing business and quicken the approval process, it has been decided to delegate more powers to the Authorised Dealer Category – I banks (AD banks)</w:t>
      </w:r>
      <w:r w:rsidR="004F2E3C" w:rsidRPr="00113001">
        <w:rPr>
          <w:rFonts w:ascii="Cambria" w:hAnsi="Cambria"/>
          <w:sz w:val="24"/>
          <w:szCs w:val="24"/>
        </w:rPr>
        <w:t>…</w:t>
      </w:r>
    </w:p>
    <w:p w14:paraId="51D1E774" w14:textId="7CA91F09" w:rsidR="004F2E3C" w:rsidRPr="00113001" w:rsidRDefault="004F2E3C" w:rsidP="004F2E3C">
      <w:pPr>
        <w:spacing w:after="0" w:line="240" w:lineRule="auto"/>
        <w:jc w:val="both"/>
        <w:rPr>
          <w:rFonts w:ascii="Cambria" w:hAnsi="Cambria"/>
          <w:sz w:val="24"/>
          <w:szCs w:val="24"/>
        </w:rPr>
      </w:pPr>
    </w:p>
    <w:p w14:paraId="1B65D173"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7F188A8F" w14:textId="6503C991" w:rsidR="004F2E3C" w:rsidRPr="00113001" w:rsidRDefault="00C4674F" w:rsidP="004F2E3C">
      <w:pPr>
        <w:spacing w:after="0" w:line="240" w:lineRule="auto"/>
        <w:jc w:val="both"/>
        <w:rPr>
          <w:rFonts w:ascii="Cambria" w:hAnsi="Cambria"/>
          <w:sz w:val="24"/>
          <w:szCs w:val="24"/>
        </w:rPr>
      </w:pPr>
      <w:hyperlink r:id="rId10" w:history="1">
        <w:r w:rsidR="004F2E3C" w:rsidRPr="00113001">
          <w:rPr>
            <w:rStyle w:val="Hyperlink"/>
            <w:rFonts w:ascii="Cambria" w:hAnsi="Cambria"/>
            <w:sz w:val="24"/>
            <w:szCs w:val="24"/>
          </w:rPr>
          <w:t>https://www.rbi.org.in/Scripts/NotificationUser.aspx?Id=12005&amp;Mode=0</w:t>
        </w:r>
      </w:hyperlink>
      <w:r w:rsidR="004F2E3C" w:rsidRPr="00113001">
        <w:rPr>
          <w:rFonts w:ascii="Cambria" w:hAnsi="Cambria"/>
          <w:sz w:val="24"/>
          <w:szCs w:val="24"/>
        </w:rPr>
        <w:t xml:space="preserve"> </w:t>
      </w:r>
    </w:p>
    <w:p w14:paraId="2110B1B0" w14:textId="187D81AF" w:rsidR="00147A38" w:rsidRPr="00113001" w:rsidRDefault="00147A38" w:rsidP="004F2E3C">
      <w:pPr>
        <w:pBdr>
          <w:bottom w:val="single" w:sz="12" w:space="1" w:color="auto"/>
        </w:pBdr>
        <w:spacing w:after="0" w:line="240" w:lineRule="auto"/>
        <w:jc w:val="both"/>
        <w:rPr>
          <w:rFonts w:ascii="Cambria" w:hAnsi="Cambria"/>
          <w:sz w:val="24"/>
          <w:szCs w:val="24"/>
        </w:rPr>
      </w:pPr>
    </w:p>
    <w:p w14:paraId="37AA3CCB" w14:textId="2E5954FB" w:rsidR="006449DE" w:rsidRPr="00113001" w:rsidRDefault="006449DE" w:rsidP="004F2E3C">
      <w:pPr>
        <w:spacing w:after="0" w:line="240" w:lineRule="auto"/>
        <w:jc w:val="both"/>
        <w:rPr>
          <w:rFonts w:ascii="Cambria" w:hAnsi="Cambria"/>
          <w:sz w:val="24"/>
          <w:szCs w:val="24"/>
        </w:rPr>
      </w:pPr>
    </w:p>
    <w:p w14:paraId="3F45751B" w14:textId="76912841" w:rsidR="00C72793" w:rsidRPr="00113001" w:rsidRDefault="00C72793" w:rsidP="004F2E3C">
      <w:pPr>
        <w:spacing w:after="0" w:line="240" w:lineRule="auto"/>
        <w:jc w:val="both"/>
        <w:rPr>
          <w:rFonts w:ascii="Cambria" w:hAnsi="Cambria"/>
          <w:b/>
          <w:bCs/>
          <w:sz w:val="24"/>
          <w:szCs w:val="24"/>
        </w:rPr>
      </w:pPr>
      <w:proofErr w:type="spellStart"/>
      <w:r w:rsidRPr="00113001">
        <w:rPr>
          <w:rFonts w:ascii="Cambria" w:hAnsi="Cambria"/>
          <w:b/>
          <w:bCs/>
          <w:sz w:val="24"/>
          <w:szCs w:val="24"/>
        </w:rPr>
        <w:t>SLR</w:t>
      </w:r>
      <w:proofErr w:type="spellEnd"/>
      <w:r w:rsidRPr="00113001">
        <w:rPr>
          <w:rFonts w:ascii="Cambria" w:hAnsi="Cambria"/>
          <w:b/>
          <w:bCs/>
          <w:sz w:val="24"/>
          <w:szCs w:val="24"/>
        </w:rPr>
        <w:t xml:space="preserve"> holdings in HTM category (Amended)</w:t>
      </w:r>
    </w:p>
    <w:p w14:paraId="67BED9E3" w14:textId="77777777" w:rsidR="00D52BE8" w:rsidRPr="00113001" w:rsidRDefault="00D52BE8" w:rsidP="004F2E3C">
      <w:pPr>
        <w:spacing w:after="0" w:line="240" w:lineRule="auto"/>
        <w:jc w:val="both"/>
        <w:rPr>
          <w:rFonts w:ascii="Cambria" w:hAnsi="Cambria"/>
          <w:sz w:val="24"/>
          <w:szCs w:val="24"/>
        </w:rPr>
      </w:pPr>
    </w:p>
    <w:p w14:paraId="309B7236" w14:textId="07126524"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RBI/2020-21/29 </w:t>
      </w:r>
      <w:proofErr w:type="spellStart"/>
      <w:r w:rsidRPr="00113001">
        <w:rPr>
          <w:rFonts w:ascii="Cambria" w:hAnsi="Cambria"/>
          <w:sz w:val="24"/>
          <w:szCs w:val="24"/>
        </w:rPr>
        <w:t>DoR.No.BP.BC.9</w:t>
      </w:r>
      <w:proofErr w:type="spellEnd"/>
      <w:r w:rsidRPr="00113001">
        <w:rPr>
          <w:rFonts w:ascii="Cambria" w:hAnsi="Cambria"/>
          <w:sz w:val="24"/>
          <w:szCs w:val="24"/>
        </w:rPr>
        <w:t>/21.04.141/2020-21</w:t>
      </w:r>
    </w:p>
    <w:p w14:paraId="097CC042"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September 1, 2020</w:t>
      </w:r>
    </w:p>
    <w:p w14:paraId="11E84732" w14:textId="77777777" w:rsidR="00C72793" w:rsidRPr="00113001" w:rsidRDefault="00C72793" w:rsidP="004F2E3C">
      <w:pPr>
        <w:spacing w:after="0" w:line="240" w:lineRule="auto"/>
        <w:jc w:val="both"/>
        <w:rPr>
          <w:rFonts w:ascii="Cambria" w:hAnsi="Cambria"/>
          <w:sz w:val="24"/>
          <w:szCs w:val="24"/>
        </w:rPr>
      </w:pPr>
    </w:p>
    <w:p w14:paraId="17000AE1"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All Commercial Banks</w:t>
      </w:r>
    </w:p>
    <w:p w14:paraId="77AE18AD" w14:textId="77777777" w:rsidR="00C72793" w:rsidRPr="00113001" w:rsidRDefault="00C72793" w:rsidP="004F2E3C">
      <w:pPr>
        <w:spacing w:after="0" w:line="240" w:lineRule="auto"/>
        <w:jc w:val="both"/>
        <w:rPr>
          <w:rFonts w:ascii="Cambria" w:hAnsi="Cambria"/>
          <w:sz w:val="24"/>
          <w:szCs w:val="24"/>
        </w:rPr>
      </w:pPr>
    </w:p>
    <w:p w14:paraId="24454BB4"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Please refer to our circulars </w:t>
      </w:r>
      <w:proofErr w:type="spellStart"/>
      <w:r w:rsidRPr="00113001">
        <w:rPr>
          <w:rFonts w:ascii="Cambria" w:hAnsi="Cambria"/>
          <w:sz w:val="24"/>
          <w:szCs w:val="24"/>
        </w:rPr>
        <w:t>DBR.No.BP.BC.6</w:t>
      </w:r>
      <w:proofErr w:type="spellEnd"/>
      <w:r w:rsidRPr="00113001">
        <w:rPr>
          <w:rFonts w:ascii="Cambria" w:hAnsi="Cambria"/>
          <w:sz w:val="24"/>
          <w:szCs w:val="24"/>
        </w:rPr>
        <w:t xml:space="preserve">/21.04.141/2015-16 dated July 1, 2015 read with </w:t>
      </w:r>
      <w:proofErr w:type="spellStart"/>
      <w:r w:rsidRPr="00113001">
        <w:rPr>
          <w:rFonts w:ascii="Cambria" w:hAnsi="Cambria"/>
          <w:sz w:val="24"/>
          <w:szCs w:val="24"/>
        </w:rPr>
        <w:t>DBR.No.BP.BC.65</w:t>
      </w:r>
      <w:proofErr w:type="spellEnd"/>
      <w:r w:rsidRPr="00113001">
        <w:rPr>
          <w:rFonts w:ascii="Cambria" w:hAnsi="Cambria"/>
          <w:sz w:val="24"/>
          <w:szCs w:val="24"/>
        </w:rPr>
        <w:t xml:space="preserve">/21.04.141/2015-16 dated December 10, 2015 and </w:t>
      </w:r>
      <w:proofErr w:type="spellStart"/>
      <w:r w:rsidRPr="00113001">
        <w:rPr>
          <w:rFonts w:ascii="Cambria" w:hAnsi="Cambria"/>
          <w:sz w:val="24"/>
          <w:szCs w:val="24"/>
        </w:rPr>
        <w:t>DBR.No.Ret.BC.90</w:t>
      </w:r>
      <w:proofErr w:type="spellEnd"/>
      <w:r w:rsidRPr="00113001">
        <w:rPr>
          <w:rFonts w:ascii="Cambria" w:hAnsi="Cambria"/>
          <w:sz w:val="24"/>
          <w:szCs w:val="24"/>
        </w:rPr>
        <w:t>/12.02.001/2017-18 dated October 4, 2017 on the subject.</w:t>
      </w:r>
    </w:p>
    <w:p w14:paraId="117601D3" w14:textId="77777777" w:rsidR="00C72793" w:rsidRPr="00113001" w:rsidRDefault="00C72793" w:rsidP="004F2E3C">
      <w:pPr>
        <w:spacing w:after="0" w:line="240" w:lineRule="auto"/>
        <w:jc w:val="both"/>
        <w:rPr>
          <w:rFonts w:ascii="Cambria" w:hAnsi="Cambria"/>
          <w:sz w:val="24"/>
          <w:szCs w:val="24"/>
        </w:rPr>
      </w:pPr>
    </w:p>
    <w:p w14:paraId="26324028" w14:textId="07A9FE9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2. Currently, banks are permitted to exceed the limit of 25 per cent of the total investments under Held to Maturity (HTM) category, provided the excess comprises only of </w:t>
      </w:r>
      <w:proofErr w:type="spellStart"/>
      <w:r w:rsidRPr="00113001">
        <w:rPr>
          <w:rFonts w:ascii="Cambria" w:hAnsi="Cambria"/>
          <w:sz w:val="24"/>
          <w:szCs w:val="24"/>
        </w:rPr>
        <w:t>SLR</w:t>
      </w:r>
      <w:proofErr w:type="spellEnd"/>
      <w:r w:rsidRPr="00113001">
        <w:rPr>
          <w:rFonts w:ascii="Cambria" w:hAnsi="Cambria"/>
          <w:sz w:val="24"/>
          <w:szCs w:val="24"/>
        </w:rPr>
        <w:t xml:space="preserve"> securities and total </w:t>
      </w:r>
      <w:proofErr w:type="spellStart"/>
      <w:r w:rsidRPr="00113001">
        <w:rPr>
          <w:rFonts w:ascii="Cambria" w:hAnsi="Cambria"/>
          <w:sz w:val="24"/>
          <w:szCs w:val="24"/>
        </w:rPr>
        <w:t>SLR</w:t>
      </w:r>
      <w:proofErr w:type="spellEnd"/>
      <w:r w:rsidRPr="00113001">
        <w:rPr>
          <w:rFonts w:ascii="Cambria" w:hAnsi="Cambria"/>
          <w:sz w:val="24"/>
          <w:szCs w:val="24"/>
        </w:rPr>
        <w:t xml:space="preserve"> securities held under HTM category is not more than 19.5 per cent of </w:t>
      </w:r>
      <w:proofErr w:type="spellStart"/>
      <w:r w:rsidRPr="00113001">
        <w:rPr>
          <w:rFonts w:ascii="Cambria" w:hAnsi="Cambria"/>
          <w:sz w:val="24"/>
          <w:szCs w:val="24"/>
        </w:rPr>
        <w:t>NDTL</w:t>
      </w:r>
      <w:proofErr w:type="spellEnd"/>
      <w:r w:rsidRPr="00113001">
        <w:rPr>
          <w:rFonts w:ascii="Cambria" w:hAnsi="Cambria"/>
          <w:sz w:val="24"/>
          <w:szCs w:val="24"/>
        </w:rPr>
        <w:t xml:space="preserve"> as on the last Friday of the second preceding fortnight. On a review, it has been decided to allow banks to hold under HTM category, </w:t>
      </w:r>
      <w:proofErr w:type="spellStart"/>
      <w:r w:rsidRPr="00113001">
        <w:rPr>
          <w:rFonts w:ascii="Cambria" w:hAnsi="Cambria"/>
          <w:sz w:val="24"/>
          <w:szCs w:val="24"/>
        </w:rPr>
        <w:t>SLR</w:t>
      </w:r>
      <w:proofErr w:type="spellEnd"/>
      <w:r w:rsidRPr="00113001">
        <w:rPr>
          <w:rFonts w:ascii="Cambria" w:hAnsi="Cambria"/>
          <w:sz w:val="24"/>
          <w:szCs w:val="24"/>
        </w:rPr>
        <w:t xml:space="preserve"> securities acquired on or after September 1, 2020 up to an overall limit of 22 per cent of </w:t>
      </w:r>
      <w:proofErr w:type="spellStart"/>
      <w:r w:rsidRPr="00113001">
        <w:rPr>
          <w:rFonts w:ascii="Cambria" w:hAnsi="Cambria"/>
          <w:sz w:val="24"/>
          <w:szCs w:val="24"/>
        </w:rPr>
        <w:t>NDTL</w:t>
      </w:r>
      <w:proofErr w:type="spellEnd"/>
      <w:r w:rsidRPr="00113001">
        <w:rPr>
          <w:rFonts w:ascii="Cambria" w:hAnsi="Cambria"/>
          <w:sz w:val="24"/>
          <w:szCs w:val="24"/>
        </w:rPr>
        <w:t>, up to March 31, 2021, which shall be reviewed thereafter.</w:t>
      </w:r>
    </w:p>
    <w:p w14:paraId="1F98A1D4" w14:textId="3D84F39E" w:rsidR="00C72793" w:rsidRPr="00113001" w:rsidRDefault="00C72793" w:rsidP="004F2E3C">
      <w:pPr>
        <w:pBdr>
          <w:bottom w:val="single" w:sz="12" w:space="1" w:color="auto"/>
        </w:pBdr>
        <w:spacing w:after="0" w:line="240" w:lineRule="auto"/>
        <w:jc w:val="both"/>
        <w:rPr>
          <w:rFonts w:ascii="Cambria" w:hAnsi="Cambria"/>
          <w:sz w:val="24"/>
          <w:szCs w:val="24"/>
        </w:rPr>
      </w:pPr>
    </w:p>
    <w:p w14:paraId="0B206318" w14:textId="748652ED" w:rsidR="00C72793" w:rsidRPr="00113001" w:rsidRDefault="00C72793" w:rsidP="004F2E3C">
      <w:pPr>
        <w:spacing w:after="0" w:line="240" w:lineRule="auto"/>
        <w:jc w:val="both"/>
        <w:rPr>
          <w:rFonts w:ascii="Cambria" w:hAnsi="Cambria"/>
          <w:sz w:val="24"/>
          <w:szCs w:val="24"/>
        </w:rPr>
      </w:pPr>
    </w:p>
    <w:p w14:paraId="0CE1E4E8" w14:textId="3421AA0D" w:rsidR="00C72793" w:rsidRPr="00113001" w:rsidRDefault="00C72793" w:rsidP="004F2E3C">
      <w:pPr>
        <w:spacing w:after="0" w:line="240" w:lineRule="auto"/>
        <w:jc w:val="both"/>
        <w:rPr>
          <w:rFonts w:ascii="Cambria" w:hAnsi="Cambria"/>
          <w:b/>
          <w:bCs/>
          <w:sz w:val="24"/>
          <w:szCs w:val="24"/>
        </w:rPr>
      </w:pPr>
      <w:proofErr w:type="spellStart"/>
      <w:r w:rsidRPr="00113001">
        <w:rPr>
          <w:rFonts w:ascii="Cambria" w:hAnsi="Cambria"/>
          <w:b/>
          <w:bCs/>
          <w:sz w:val="24"/>
          <w:szCs w:val="24"/>
        </w:rPr>
        <w:t>SLR</w:t>
      </w:r>
      <w:proofErr w:type="spellEnd"/>
      <w:r w:rsidRPr="00113001">
        <w:rPr>
          <w:rFonts w:ascii="Cambria" w:hAnsi="Cambria"/>
          <w:b/>
          <w:bCs/>
          <w:sz w:val="24"/>
          <w:szCs w:val="24"/>
        </w:rPr>
        <w:t xml:space="preserve"> holdings in HTM category</w:t>
      </w:r>
    </w:p>
    <w:p w14:paraId="3456CF88" w14:textId="77777777" w:rsidR="00D52BE8" w:rsidRPr="00113001" w:rsidRDefault="00D52BE8" w:rsidP="004F2E3C">
      <w:pPr>
        <w:spacing w:after="0" w:line="240" w:lineRule="auto"/>
        <w:jc w:val="both"/>
        <w:rPr>
          <w:rFonts w:ascii="Cambria" w:hAnsi="Cambria"/>
          <w:sz w:val="24"/>
          <w:szCs w:val="24"/>
        </w:rPr>
      </w:pPr>
    </w:p>
    <w:p w14:paraId="15469E18" w14:textId="1FB9C211"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RBI/2020-2021/54 </w:t>
      </w:r>
      <w:proofErr w:type="spellStart"/>
      <w:r w:rsidRPr="00113001">
        <w:rPr>
          <w:rFonts w:ascii="Cambria" w:hAnsi="Cambria"/>
          <w:sz w:val="24"/>
          <w:szCs w:val="24"/>
        </w:rPr>
        <w:t>DoR.No.BP.BC.22</w:t>
      </w:r>
      <w:proofErr w:type="spellEnd"/>
      <w:r w:rsidRPr="00113001">
        <w:rPr>
          <w:rFonts w:ascii="Cambria" w:hAnsi="Cambria"/>
          <w:sz w:val="24"/>
          <w:szCs w:val="24"/>
        </w:rPr>
        <w:t>/21.04.141/2020-21</w:t>
      </w:r>
    </w:p>
    <w:p w14:paraId="512BB08C"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October 12, 2020</w:t>
      </w:r>
    </w:p>
    <w:p w14:paraId="1420BCAF" w14:textId="77777777" w:rsidR="00C72793" w:rsidRPr="00113001" w:rsidRDefault="00C72793" w:rsidP="004F2E3C">
      <w:pPr>
        <w:spacing w:after="0" w:line="240" w:lineRule="auto"/>
        <w:jc w:val="both"/>
        <w:rPr>
          <w:rFonts w:ascii="Cambria" w:hAnsi="Cambria"/>
          <w:sz w:val="24"/>
          <w:szCs w:val="24"/>
        </w:rPr>
      </w:pPr>
    </w:p>
    <w:p w14:paraId="46F34689"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All Commercial Banks</w:t>
      </w:r>
    </w:p>
    <w:p w14:paraId="7DE5E21D" w14:textId="77777777" w:rsidR="00C72793" w:rsidRPr="00113001" w:rsidRDefault="00C72793" w:rsidP="004F2E3C">
      <w:pPr>
        <w:spacing w:after="0" w:line="240" w:lineRule="auto"/>
        <w:jc w:val="both"/>
        <w:rPr>
          <w:rFonts w:ascii="Cambria" w:hAnsi="Cambria"/>
          <w:sz w:val="24"/>
          <w:szCs w:val="24"/>
        </w:rPr>
      </w:pPr>
    </w:p>
    <w:p w14:paraId="33D90069"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Please refer to paragraph 2 of Statement on Developmental and Regulatory Policies of the Monetary Policy Statement, 2020-21 dated October 9, 2020 and our circular </w:t>
      </w:r>
      <w:proofErr w:type="spellStart"/>
      <w:r w:rsidRPr="00113001">
        <w:rPr>
          <w:rFonts w:ascii="Cambria" w:hAnsi="Cambria"/>
          <w:sz w:val="24"/>
          <w:szCs w:val="24"/>
        </w:rPr>
        <w:t>DoR.No.BP.BC.9</w:t>
      </w:r>
      <w:proofErr w:type="spellEnd"/>
      <w:r w:rsidRPr="00113001">
        <w:rPr>
          <w:rFonts w:ascii="Cambria" w:hAnsi="Cambria"/>
          <w:sz w:val="24"/>
          <w:szCs w:val="24"/>
        </w:rPr>
        <w:t>/21.04.141/2020-21 dated September 1, 2020 on the above subject.</w:t>
      </w:r>
    </w:p>
    <w:p w14:paraId="26F19C34" w14:textId="77777777" w:rsidR="00C72793" w:rsidRPr="00113001" w:rsidRDefault="00C72793" w:rsidP="004F2E3C">
      <w:pPr>
        <w:spacing w:after="0" w:line="240" w:lineRule="auto"/>
        <w:jc w:val="both"/>
        <w:rPr>
          <w:rFonts w:ascii="Cambria" w:hAnsi="Cambria"/>
          <w:sz w:val="24"/>
          <w:szCs w:val="24"/>
        </w:rPr>
      </w:pPr>
    </w:p>
    <w:p w14:paraId="1E024B7D"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2. Banks are permitted to exceed the limit of 25 per cent of the total investments under Held to Maturity (HTM) category provided the excess comprises only of </w:t>
      </w:r>
      <w:proofErr w:type="spellStart"/>
      <w:r w:rsidRPr="00113001">
        <w:rPr>
          <w:rFonts w:ascii="Cambria" w:hAnsi="Cambria"/>
          <w:sz w:val="24"/>
          <w:szCs w:val="24"/>
        </w:rPr>
        <w:t>SLR</w:t>
      </w:r>
      <w:proofErr w:type="spellEnd"/>
      <w:r w:rsidRPr="00113001">
        <w:rPr>
          <w:rFonts w:ascii="Cambria" w:hAnsi="Cambria"/>
          <w:sz w:val="24"/>
          <w:szCs w:val="24"/>
        </w:rPr>
        <w:t xml:space="preserve"> securities and total </w:t>
      </w:r>
      <w:proofErr w:type="spellStart"/>
      <w:r w:rsidRPr="00113001">
        <w:rPr>
          <w:rFonts w:ascii="Cambria" w:hAnsi="Cambria"/>
          <w:sz w:val="24"/>
          <w:szCs w:val="24"/>
        </w:rPr>
        <w:t>SLR</w:t>
      </w:r>
      <w:proofErr w:type="spellEnd"/>
      <w:r w:rsidRPr="00113001">
        <w:rPr>
          <w:rFonts w:ascii="Cambria" w:hAnsi="Cambria"/>
          <w:sz w:val="24"/>
          <w:szCs w:val="24"/>
        </w:rPr>
        <w:t xml:space="preserve"> securities held under HTM category is not more than 19.5 per cent of Net Demand and Time Liabilities (</w:t>
      </w:r>
      <w:proofErr w:type="spellStart"/>
      <w:r w:rsidRPr="00113001">
        <w:rPr>
          <w:rFonts w:ascii="Cambria" w:hAnsi="Cambria"/>
          <w:sz w:val="24"/>
          <w:szCs w:val="24"/>
        </w:rPr>
        <w:t>NDTL</w:t>
      </w:r>
      <w:proofErr w:type="spellEnd"/>
      <w:r w:rsidRPr="00113001">
        <w:rPr>
          <w:rFonts w:ascii="Cambria" w:hAnsi="Cambria"/>
          <w:sz w:val="24"/>
          <w:szCs w:val="24"/>
        </w:rPr>
        <w:t xml:space="preserve">) as on the last Friday of the second preceding fortnight. Banks are, vide our circular dated September 1, 2020 referred to above, allowed to hold under HTM category, </w:t>
      </w:r>
      <w:proofErr w:type="spellStart"/>
      <w:r w:rsidRPr="00113001">
        <w:rPr>
          <w:rFonts w:ascii="Cambria" w:hAnsi="Cambria"/>
          <w:sz w:val="24"/>
          <w:szCs w:val="24"/>
        </w:rPr>
        <w:t>SLR</w:t>
      </w:r>
      <w:proofErr w:type="spellEnd"/>
      <w:r w:rsidRPr="00113001">
        <w:rPr>
          <w:rFonts w:ascii="Cambria" w:hAnsi="Cambria"/>
          <w:sz w:val="24"/>
          <w:szCs w:val="24"/>
        </w:rPr>
        <w:t xml:space="preserve"> securities acquired on or after September 1, 2020 up to an overall limit of 22 per cent of </w:t>
      </w:r>
      <w:proofErr w:type="spellStart"/>
      <w:r w:rsidRPr="00113001">
        <w:rPr>
          <w:rFonts w:ascii="Cambria" w:hAnsi="Cambria"/>
          <w:sz w:val="24"/>
          <w:szCs w:val="24"/>
        </w:rPr>
        <w:t>NDTL</w:t>
      </w:r>
      <w:proofErr w:type="spellEnd"/>
      <w:r w:rsidRPr="00113001">
        <w:rPr>
          <w:rFonts w:ascii="Cambria" w:hAnsi="Cambria"/>
          <w:sz w:val="24"/>
          <w:szCs w:val="24"/>
        </w:rPr>
        <w:t xml:space="preserve">, up to March 31, 2021. It has now been decided to extend the dispensation of the enhanced HTM limit of 22 percent, for </w:t>
      </w:r>
      <w:proofErr w:type="spellStart"/>
      <w:r w:rsidRPr="00113001">
        <w:rPr>
          <w:rFonts w:ascii="Cambria" w:hAnsi="Cambria"/>
          <w:sz w:val="24"/>
          <w:szCs w:val="24"/>
        </w:rPr>
        <w:t>SLR</w:t>
      </w:r>
      <w:proofErr w:type="spellEnd"/>
      <w:r w:rsidRPr="00113001">
        <w:rPr>
          <w:rFonts w:ascii="Cambria" w:hAnsi="Cambria"/>
          <w:sz w:val="24"/>
          <w:szCs w:val="24"/>
        </w:rPr>
        <w:t xml:space="preserve"> securities acquired between September 1, 2020 and March 31, 2021, up to March 31, 2022, i.e. banks may continue to hold such excess </w:t>
      </w:r>
      <w:proofErr w:type="spellStart"/>
      <w:r w:rsidRPr="00113001">
        <w:rPr>
          <w:rFonts w:ascii="Cambria" w:hAnsi="Cambria"/>
          <w:sz w:val="24"/>
          <w:szCs w:val="24"/>
        </w:rPr>
        <w:t>SLR</w:t>
      </w:r>
      <w:proofErr w:type="spellEnd"/>
      <w:r w:rsidRPr="00113001">
        <w:rPr>
          <w:rFonts w:ascii="Cambria" w:hAnsi="Cambria"/>
          <w:sz w:val="24"/>
          <w:szCs w:val="24"/>
        </w:rPr>
        <w:t xml:space="preserve"> securities in HTM category </w:t>
      </w:r>
      <w:proofErr w:type="spellStart"/>
      <w:r w:rsidRPr="00113001">
        <w:rPr>
          <w:rFonts w:ascii="Cambria" w:hAnsi="Cambria"/>
          <w:sz w:val="24"/>
          <w:szCs w:val="24"/>
        </w:rPr>
        <w:t>upto</w:t>
      </w:r>
      <w:proofErr w:type="spellEnd"/>
      <w:r w:rsidRPr="00113001">
        <w:rPr>
          <w:rFonts w:ascii="Cambria" w:hAnsi="Cambria"/>
          <w:sz w:val="24"/>
          <w:szCs w:val="24"/>
        </w:rPr>
        <w:t xml:space="preserve"> March 31, 2022.</w:t>
      </w:r>
    </w:p>
    <w:p w14:paraId="5916B0A8" w14:textId="77777777" w:rsidR="00C72793" w:rsidRPr="00113001" w:rsidRDefault="00C72793" w:rsidP="004F2E3C">
      <w:pPr>
        <w:spacing w:after="0" w:line="240" w:lineRule="auto"/>
        <w:jc w:val="both"/>
        <w:rPr>
          <w:rFonts w:ascii="Cambria" w:hAnsi="Cambria"/>
          <w:sz w:val="24"/>
          <w:szCs w:val="24"/>
        </w:rPr>
      </w:pPr>
    </w:p>
    <w:p w14:paraId="56840A5A"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3. It has also been decided that the enhanced HTM limit shall be restored to 19.5 per cent in a phased manner, beginning from the quarter ending June 30, 2022, i.e. the excess </w:t>
      </w:r>
      <w:proofErr w:type="spellStart"/>
      <w:r w:rsidRPr="00113001">
        <w:rPr>
          <w:rFonts w:ascii="Cambria" w:hAnsi="Cambria"/>
          <w:sz w:val="24"/>
          <w:szCs w:val="24"/>
        </w:rPr>
        <w:t>SLR</w:t>
      </w:r>
      <w:proofErr w:type="spellEnd"/>
      <w:r w:rsidRPr="00113001">
        <w:rPr>
          <w:rFonts w:ascii="Cambria" w:hAnsi="Cambria"/>
          <w:sz w:val="24"/>
          <w:szCs w:val="24"/>
        </w:rPr>
        <w:t xml:space="preserve"> securities acquired by banks during the period September 1, 2020 to March 31, 2021 shall be progressively reduced such that the total </w:t>
      </w:r>
      <w:proofErr w:type="spellStart"/>
      <w:r w:rsidRPr="00113001">
        <w:rPr>
          <w:rFonts w:ascii="Cambria" w:hAnsi="Cambria"/>
          <w:sz w:val="24"/>
          <w:szCs w:val="24"/>
        </w:rPr>
        <w:t>SLR</w:t>
      </w:r>
      <w:proofErr w:type="spellEnd"/>
      <w:r w:rsidRPr="00113001">
        <w:rPr>
          <w:rFonts w:ascii="Cambria" w:hAnsi="Cambria"/>
          <w:sz w:val="24"/>
          <w:szCs w:val="24"/>
        </w:rPr>
        <w:t xml:space="preserve"> securities held in the HTM category as a percentage of the </w:t>
      </w:r>
      <w:proofErr w:type="spellStart"/>
      <w:r w:rsidRPr="00113001">
        <w:rPr>
          <w:rFonts w:ascii="Cambria" w:hAnsi="Cambria"/>
          <w:sz w:val="24"/>
          <w:szCs w:val="24"/>
        </w:rPr>
        <w:t>NDTL</w:t>
      </w:r>
      <w:proofErr w:type="spellEnd"/>
      <w:r w:rsidRPr="00113001">
        <w:rPr>
          <w:rFonts w:ascii="Cambria" w:hAnsi="Cambria"/>
          <w:sz w:val="24"/>
          <w:szCs w:val="24"/>
        </w:rPr>
        <w:t xml:space="preserve"> does not exceed:</w:t>
      </w:r>
    </w:p>
    <w:p w14:paraId="228DF910" w14:textId="77777777" w:rsidR="00C72793" w:rsidRPr="00113001" w:rsidRDefault="00C72793" w:rsidP="004F2E3C">
      <w:pPr>
        <w:spacing w:after="0" w:line="240" w:lineRule="auto"/>
        <w:jc w:val="both"/>
        <w:rPr>
          <w:rFonts w:ascii="Cambria" w:hAnsi="Cambria"/>
          <w:sz w:val="24"/>
          <w:szCs w:val="24"/>
        </w:rPr>
      </w:pPr>
    </w:p>
    <w:p w14:paraId="3B989089" w14:textId="77777777" w:rsidR="00C72793" w:rsidRPr="00113001" w:rsidRDefault="00C72793" w:rsidP="004F2E3C">
      <w:pPr>
        <w:pStyle w:val="ListParagraph"/>
        <w:numPr>
          <w:ilvl w:val="0"/>
          <w:numId w:val="13"/>
        </w:numPr>
        <w:spacing w:after="0" w:line="240" w:lineRule="auto"/>
        <w:jc w:val="both"/>
        <w:rPr>
          <w:rFonts w:ascii="Cambria" w:hAnsi="Cambria"/>
          <w:sz w:val="24"/>
          <w:szCs w:val="24"/>
        </w:rPr>
      </w:pPr>
      <w:r w:rsidRPr="00113001">
        <w:rPr>
          <w:rFonts w:ascii="Cambria" w:hAnsi="Cambria"/>
          <w:sz w:val="24"/>
          <w:szCs w:val="24"/>
        </w:rPr>
        <w:t>21.00 per cent as on June 30, 2022</w:t>
      </w:r>
    </w:p>
    <w:p w14:paraId="491F4FB2" w14:textId="77777777" w:rsidR="00C72793" w:rsidRPr="00113001" w:rsidRDefault="00C72793" w:rsidP="004F2E3C">
      <w:pPr>
        <w:pStyle w:val="ListParagraph"/>
        <w:numPr>
          <w:ilvl w:val="0"/>
          <w:numId w:val="13"/>
        </w:numPr>
        <w:spacing w:after="0" w:line="240" w:lineRule="auto"/>
        <w:jc w:val="both"/>
        <w:rPr>
          <w:rFonts w:ascii="Cambria" w:hAnsi="Cambria"/>
          <w:sz w:val="24"/>
          <w:szCs w:val="24"/>
        </w:rPr>
      </w:pPr>
      <w:r w:rsidRPr="00113001">
        <w:rPr>
          <w:rFonts w:ascii="Cambria" w:hAnsi="Cambria"/>
          <w:sz w:val="24"/>
          <w:szCs w:val="24"/>
        </w:rPr>
        <w:t>20.00 per cent as on September 30, 2022</w:t>
      </w:r>
    </w:p>
    <w:p w14:paraId="4E397C2E" w14:textId="77777777" w:rsidR="00C72793" w:rsidRPr="00113001" w:rsidRDefault="00C72793" w:rsidP="004F2E3C">
      <w:pPr>
        <w:pStyle w:val="ListParagraph"/>
        <w:numPr>
          <w:ilvl w:val="0"/>
          <w:numId w:val="13"/>
        </w:numPr>
        <w:spacing w:after="0" w:line="240" w:lineRule="auto"/>
        <w:jc w:val="both"/>
        <w:rPr>
          <w:rFonts w:ascii="Cambria" w:hAnsi="Cambria"/>
          <w:sz w:val="24"/>
          <w:szCs w:val="24"/>
        </w:rPr>
      </w:pPr>
      <w:r w:rsidRPr="00113001">
        <w:rPr>
          <w:rFonts w:ascii="Cambria" w:hAnsi="Cambria"/>
          <w:sz w:val="24"/>
          <w:szCs w:val="24"/>
        </w:rPr>
        <w:t>19.50 per cent as on December 31, 2022</w:t>
      </w:r>
    </w:p>
    <w:p w14:paraId="0E5DDEB6" w14:textId="77777777" w:rsidR="00C72793" w:rsidRPr="00113001" w:rsidRDefault="00C72793" w:rsidP="004F2E3C">
      <w:pPr>
        <w:spacing w:after="0" w:line="240" w:lineRule="auto"/>
        <w:jc w:val="both"/>
        <w:rPr>
          <w:rFonts w:ascii="Cambria" w:hAnsi="Cambria"/>
          <w:sz w:val="24"/>
          <w:szCs w:val="24"/>
        </w:rPr>
      </w:pPr>
    </w:p>
    <w:p w14:paraId="60284BAD" w14:textId="52B6EA24"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4. As per extant instructions, banks may shift investments to/from HTM with the approval of the Board of Directors once a year and such shifting will normally be allowed at the beginning of the accounting year. However, in order to enable banks to shift their excess </w:t>
      </w:r>
      <w:proofErr w:type="spellStart"/>
      <w:r w:rsidRPr="00113001">
        <w:rPr>
          <w:rFonts w:ascii="Cambria" w:hAnsi="Cambria"/>
          <w:sz w:val="24"/>
          <w:szCs w:val="24"/>
        </w:rPr>
        <w:t>SLR</w:t>
      </w:r>
      <w:proofErr w:type="spellEnd"/>
      <w:r w:rsidRPr="00113001">
        <w:rPr>
          <w:rFonts w:ascii="Cambria" w:hAnsi="Cambria"/>
          <w:sz w:val="24"/>
          <w:szCs w:val="24"/>
        </w:rPr>
        <w:t xml:space="preserve"> securities from the HTM category to AFS/</w:t>
      </w:r>
      <w:proofErr w:type="spellStart"/>
      <w:r w:rsidRPr="00113001">
        <w:rPr>
          <w:rFonts w:ascii="Cambria" w:hAnsi="Cambria"/>
          <w:sz w:val="24"/>
          <w:szCs w:val="24"/>
        </w:rPr>
        <w:t>HFT</w:t>
      </w:r>
      <w:proofErr w:type="spellEnd"/>
      <w:r w:rsidRPr="00113001">
        <w:rPr>
          <w:rFonts w:ascii="Cambria" w:hAnsi="Cambria"/>
          <w:sz w:val="24"/>
          <w:szCs w:val="24"/>
        </w:rPr>
        <w:t xml:space="preserve"> to comply with the instructions as indicated in paragraph 3 above, it has been decided to allow such shifting of the excess securities during the quarter in which the HTM ceiling is brought down. This would be in addition to the shifting permitted at the beginning of the accounting year.</w:t>
      </w:r>
    </w:p>
    <w:p w14:paraId="4E415705" w14:textId="3BB442E4" w:rsidR="00C72793" w:rsidRPr="00113001" w:rsidRDefault="00C72793" w:rsidP="004F2E3C">
      <w:pPr>
        <w:pBdr>
          <w:bottom w:val="single" w:sz="12" w:space="1" w:color="auto"/>
        </w:pBdr>
        <w:spacing w:after="0" w:line="240" w:lineRule="auto"/>
        <w:jc w:val="both"/>
        <w:rPr>
          <w:rFonts w:ascii="Cambria" w:hAnsi="Cambria"/>
          <w:sz w:val="24"/>
          <w:szCs w:val="24"/>
        </w:rPr>
      </w:pPr>
    </w:p>
    <w:p w14:paraId="7293FFEC" w14:textId="32CE03B6" w:rsidR="00C72793" w:rsidRPr="00113001" w:rsidRDefault="00C72793" w:rsidP="004F2E3C">
      <w:pPr>
        <w:spacing w:after="0" w:line="240" w:lineRule="auto"/>
        <w:jc w:val="both"/>
        <w:rPr>
          <w:rFonts w:ascii="Cambria" w:hAnsi="Cambria"/>
          <w:sz w:val="24"/>
          <w:szCs w:val="24"/>
        </w:rPr>
      </w:pPr>
    </w:p>
    <w:p w14:paraId="26C16626" w14:textId="77777777" w:rsidR="000D176C" w:rsidRPr="00113001" w:rsidRDefault="000D176C" w:rsidP="004F2E3C">
      <w:pPr>
        <w:spacing w:after="0" w:line="240" w:lineRule="auto"/>
        <w:jc w:val="both"/>
        <w:rPr>
          <w:rFonts w:ascii="Cambria" w:hAnsi="Cambria"/>
          <w:b/>
          <w:bCs/>
          <w:sz w:val="24"/>
          <w:szCs w:val="24"/>
        </w:rPr>
      </w:pPr>
      <w:r w:rsidRPr="00113001">
        <w:rPr>
          <w:rFonts w:ascii="Cambria" w:hAnsi="Cambria"/>
          <w:b/>
          <w:bCs/>
          <w:sz w:val="24"/>
          <w:szCs w:val="24"/>
        </w:rPr>
        <w:t>Introduction of Liquidity Adjustment Facility (</w:t>
      </w:r>
      <w:proofErr w:type="spellStart"/>
      <w:r w:rsidRPr="00113001">
        <w:rPr>
          <w:rFonts w:ascii="Cambria" w:hAnsi="Cambria"/>
          <w:b/>
          <w:bCs/>
          <w:sz w:val="24"/>
          <w:szCs w:val="24"/>
        </w:rPr>
        <w:t>LAF</w:t>
      </w:r>
      <w:proofErr w:type="spellEnd"/>
      <w:r w:rsidRPr="00113001">
        <w:rPr>
          <w:rFonts w:ascii="Cambria" w:hAnsi="Cambria"/>
          <w:b/>
          <w:bCs/>
          <w:sz w:val="24"/>
          <w:szCs w:val="24"/>
        </w:rPr>
        <w:t>) and Marginal Standing Facility (MSF) for Regional Rural Banks (</w:t>
      </w:r>
      <w:proofErr w:type="spellStart"/>
      <w:r w:rsidRPr="00113001">
        <w:rPr>
          <w:rFonts w:ascii="Cambria" w:hAnsi="Cambria"/>
          <w:b/>
          <w:bCs/>
          <w:sz w:val="24"/>
          <w:szCs w:val="24"/>
        </w:rPr>
        <w:t>RRBs</w:t>
      </w:r>
      <w:proofErr w:type="spellEnd"/>
      <w:r w:rsidRPr="00113001">
        <w:rPr>
          <w:rFonts w:ascii="Cambria" w:hAnsi="Cambria"/>
          <w:b/>
          <w:bCs/>
          <w:sz w:val="24"/>
          <w:szCs w:val="24"/>
        </w:rPr>
        <w:t>)</w:t>
      </w:r>
    </w:p>
    <w:p w14:paraId="18E8CBAC" w14:textId="77777777" w:rsidR="00073301" w:rsidRPr="00113001" w:rsidRDefault="00073301" w:rsidP="004F2E3C">
      <w:pPr>
        <w:spacing w:after="0" w:line="240" w:lineRule="auto"/>
        <w:jc w:val="both"/>
        <w:rPr>
          <w:rFonts w:ascii="Cambria" w:hAnsi="Cambria"/>
          <w:sz w:val="24"/>
          <w:szCs w:val="24"/>
        </w:rPr>
      </w:pPr>
    </w:p>
    <w:p w14:paraId="7D4A130C" w14:textId="039F7F71"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RBI/2020-21/76 </w:t>
      </w:r>
      <w:proofErr w:type="spellStart"/>
      <w:r w:rsidRPr="00113001">
        <w:rPr>
          <w:rFonts w:ascii="Cambria" w:hAnsi="Cambria"/>
          <w:sz w:val="24"/>
          <w:szCs w:val="24"/>
        </w:rPr>
        <w:t>DOR.RRB.No.28</w:t>
      </w:r>
      <w:proofErr w:type="spellEnd"/>
      <w:r w:rsidRPr="00113001">
        <w:rPr>
          <w:rFonts w:ascii="Cambria" w:hAnsi="Cambria"/>
          <w:sz w:val="24"/>
          <w:szCs w:val="24"/>
        </w:rPr>
        <w:t>/31.01.001/2020-21</w:t>
      </w:r>
    </w:p>
    <w:p w14:paraId="5D4DF4D1"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December 4, 2020</w:t>
      </w:r>
    </w:p>
    <w:p w14:paraId="12B5E75F" w14:textId="77777777" w:rsidR="000D176C" w:rsidRPr="00113001" w:rsidRDefault="000D176C" w:rsidP="004F2E3C">
      <w:pPr>
        <w:spacing w:after="0" w:line="240" w:lineRule="auto"/>
        <w:jc w:val="both"/>
        <w:rPr>
          <w:rFonts w:ascii="Cambria" w:hAnsi="Cambria"/>
          <w:sz w:val="24"/>
          <w:szCs w:val="24"/>
        </w:rPr>
      </w:pPr>
    </w:p>
    <w:p w14:paraId="6779DB23"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All Regional Rural Banks</w:t>
      </w:r>
    </w:p>
    <w:p w14:paraId="48D8AD53" w14:textId="77777777" w:rsidR="000D176C" w:rsidRPr="00113001" w:rsidRDefault="000D176C" w:rsidP="004F2E3C">
      <w:pPr>
        <w:spacing w:after="0" w:line="240" w:lineRule="auto"/>
        <w:jc w:val="both"/>
        <w:rPr>
          <w:rFonts w:ascii="Cambria" w:hAnsi="Cambria"/>
          <w:sz w:val="24"/>
          <w:szCs w:val="24"/>
        </w:rPr>
      </w:pPr>
    </w:p>
    <w:p w14:paraId="20445B22"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In order to provide an additional avenue for liquidity management to Regional Rural Banks (</w:t>
      </w:r>
      <w:proofErr w:type="spellStart"/>
      <w:r w:rsidRPr="00113001">
        <w:rPr>
          <w:rFonts w:ascii="Cambria" w:hAnsi="Cambria"/>
          <w:sz w:val="24"/>
          <w:szCs w:val="24"/>
        </w:rPr>
        <w:t>RRBs</w:t>
      </w:r>
      <w:proofErr w:type="spellEnd"/>
      <w:r w:rsidRPr="00113001">
        <w:rPr>
          <w:rFonts w:ascii="Cambria" w:hAnsi="Cambria"/>
          <w:sz w:val="24"/>
          <w:szCs w:val="24"/>
        </w:rPr>
        <w:t>), it has been decided that Liquidity Adjustment Facility (</w:t>
      </w:r>
      <w:proofErr w:type="spellStart"/>
      <w:r w:rsidRPr="00113001">
        <w:rPr>
          <w:rFonts w:ascii="Cambria" w:hAnsi="Cambria"/>
          <w:sz w:val="24"/>
          <w:szCs w:val="24"/>
        </w:rPr>
        <w:t>LAF</w:t>
      </w:r>
      <w:proofErr w:type="spellEnd"/>
      <w:r w:rsidRPr="00113001">
        <w:rPr>
          <w:rFonts w:ascii="Cambria" w:hAnsi="Cambria"/>
          <w:sz w:val="24"/>
          <w:szCs w:val="24"/>
        </w:rPr>
        <w:t xml:space="preserve">) and Marginal Standing Facility (MSF) will be extended to Scheduled </w:t>
      </w:r>
      <w:proofErr w:type="spellStart"/>
      <w:r w:rsidRPr="00113001">
        <w:rPr>
          <w:rFonts w:ascii="Cambria" w:hAnsi="Cambria"/>
          <w:sz w:val="24"/>
          <w:szCs w:val="24"/>
        </w:rPr>
        <w:t>RRBs</w:t>
      </w:r>
      <w:proofErr w:type="spellEnd"/>
      <w:r w:rsidRPr="00113001">
        <w:rPr>
          <w:rFonts w:ascii="Cambria" w:hAnsi="Cambria"/>
          <w:sz w:val="24"/>
          <w:szCs w:val="24"/>
        </w:rPr>
        <w:t xml:space="preserve"> meeting the following criteria:</w:t>
      </w:r>
    </w:p>
    <w:p w14:paraId="7968FAE5" w14:textId="77777777" w:rsidR="000D176C" w:rsidRPr="00113001" w:rsidRDefault="000D176C" w:rsidP="004F2E3C">
      <w:pPr>
        <w:spacing w:after="0" w:line="240" w:lineRule="auto"/>
        <w:jc w:val="both"/>
        <w:rPr>
          <w:rFonts w:ascii="Cambria" w:hAnsi="Cambria"/>
          <w:sz w:val="24"/>
          <w:szCs w:val="24"/>
        </w:rPr>
      </w:pPr>
    </w:p>
    <w:p w14:paraId="4B6E1156" w14:textId="77777777" w:rsidR="000D176C" w:rsidRPr="00113001" w:rsidRDefault="000D176C" w:rsidP="004F2E3C">
      <w:pPr>
        <w:pStyle w:val="ListParagraph"/>
        <w:numPr>
          <w:ilvl w:val="0"/>
          <w:numId w:val="24"/>
        </w:numPr>
        <w:spacing w:after="0" w:line="240" w:lineRule="auto"/>
        <w:jc w:val="both"/>
        <w:rPr>
          <w:rFonts w:ascii="Cambria" w:hAnsi="Cambria"/>
          <w:sz w:val="24"/>
          <w:szCs w:val="24"/>
        </w:rPr>
      </w:pPr>
      <w:r w:rsidRPr="00113001">
        <w:rPr>
          <w:rFonts w:ascii="Cambria" w:hAnsi="Cambria"/>
          <w:sz w:val="24"/>
          <w:szCs w:val="24"/>
        </w:rPr>
        <w:t>Implemented Core Banking Solution (CBS)</w:t>
      </w:r>
    </w:p>
    <w:p w14:paraId="7086F843" w14:textId="77777777" w:rsidR="000D176C" w:rsidRPr="00113001" w:rsidRDefault="000D176C" w:rsidP="004F2E3C">
      <w:pPr>
        <w:pStyle w:val="ListParagraph"/>
        <w:numPr>
          <w:ilvl w:val="0"/>
          <w:numId w:val="24"/>
        </w:numPr>
        <w:spacing w:after="0" w:line="240" w:lineRule="auto"/>
        <w:jc w:val="both"/>
        <w:rPr>
          <w:rFonts w:ascii="Cambria" w:hAnsi="Cambria"/>
          <w:sz w:val="24"/>
          <w:szCs w:val="24"/>
        </w:rPr>
      </w:pPr>
      <w:r w:rsidRPr="00113001">
        <w:rPr>
          <w:rFonts w:ascii="Cambria" w:hAnsi="Cambria"/>
          <w:sz w:val="24"/>
          <w:szCs w:val="24"/>
        </w:rPr>
        <w:t xml:space="preserve">There is a minimum </w:t>
      </w:r>
      <w:proofErr w:type="spellStart"/>
      <w:r w:rsidRPr="00113001">
        <w:rPr>
          <w:rFonts w:ascii="Cambria" w:hAnsi="Cambria"/>
          <w:sz w:val="24"/>
          <w:szCs w:val="24"/>
        </w:rPr>
        <w:t>CRAR</w:t>
      </w:r>
      <w:proofErr w:type="spellEnd"/>
      <w:r w:rsidRPr="00113001">
        <w:rPr>
          <w:rFonts w:ascii="Cambria" w:hAnsi="Cambria"/>
          <w:sz w:val="24"/>
          <w:szCs w:val="24"/>
        </w:rPr>
        <w:t xml:space="preserve"> of nine per cent and</w:t>
      </w:r>
    </w:p>
    <w:p w14:paraId="65CAB7B5" w14:textId="77777777" w:rsidR="000D176C" w:rsidRPr="00113001" w:rsidRDefault="000D176C" w:rsidP="004F2E3C">
      <w:pPr>
        <w:pStyle w:val="ListParagraph"/>
        <w:numPr>
          <w:ilvl w:val="0"/>
          <w:numId w:val="24"/>
        </w:numPr>
        <w:spacing w:after="0" w:line="240" w:lineRule="auto"/>
        <w:jc w:val="both"/>
        <w:rPr>
          <w:rFonts w:ascii="Cambria" w:hAnsi="Cambria"/>
          <w:sz w:val="24"/>
          <w:szCs w:val="24"/>
        </w:rPr>
      </w:pPr>
      <w:r w:rsidRPr="00113001">
        <w:rPr>
          <w:rFonts w:ascii="Cambria" w:hAnsi="Cambria"/>
          <w:sz w:val="24"/>
          <w:szCs w:val="24"/>
        </w:rPr>
        <w:t xml:space="preserve">Fully compliant with the terms and conditions for availing </w:t>
      </w:r>
      <w:proofErr w:type="spellStart"/>
      <w:r w:rsidRPr="00113001">
        <w:rPr>
          <w:rFonts w:ascii="Cambria" w:hAnsi="Cambria"/>
          <w:sz w:val="24"/>
          <w:szCs w:val="24"/>
        </w:rPr>
        <w:t>LAF</w:t>
      </w:r>
      <w:proofErr w:type="spellEnd"/>
      <w:r w:rsidRPr="00113001">
        <w:rPr>
          <w:rFonts w:ascii="Cambria" w:hAnsi="Cambria"/>
          <w:sz w:val="24"/>
          <w:szCs w:val="24"/>
        </w:rPr>
        <w:t xml:space="preserve"> and MSF issued by Financial Markets Operations Department (</w:t>
      </w:r>
      <w:proofErr w:type="spellStart"/>
      <w:r w:rsidRPr="00113001">
        <w:rPr>
          <w:rFonts w:ascii="Cambria" w:hAnsi="Cambria"/>
          <w:sz w:val="24"/>
          <w:szCs w:val="24"/>
        </w:rPr>
        <w:t>FMOD</w:t>
      </w:r>
      <w:proofErr w:type="spellEnd"/>
      <w:r w:rsidRPr="00113001">
        <w:rPr>
          <w:rFonts w:ascii="Cambria" w:hAnsi="Cambria"/>
          <w:sz w:val="24"/>
          <w:szCs w:val="24"/>
        </w:rPr>
        <w:t>), Reserve Bank of India.</w:t>
      </w:r>
    </w:p>
    <w:p w14:paraId="2CF677AB" w14:textId="77777777" w:rsidR="000D176C" w:rsidRPr="00113001" w:rsidRDefault="000D176C" w:rsidP="004F2E3C">
      <w:pPr>
        <w:spacing w:after="0" w:line="240" w:lineRule="auto"/>
        <w:jc w:val="both"/>
        <w:rPr>
          <w:rFonts w:ascii="Cambria" w:hAnsi="Cambria"/>
          <w:sz w:val="24"/>
          <w:szCs w:val="24"/>
        </w:rPr>
      </w:pPr>
    </w:p>
    <w:p w14:paraId="06599798"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2. The names of </w:t>
      </w:r>
      <w:proofErr w:type="spellStart"/>
      <w:r w:rsidRPr="00113001">
        <w:rPr>
          <w:rFonts w:ascii="Cambria" w:hAnsi="Cambria"/>
          <w:sz w:val="24"/>
          <w:szCs w:val="24"/>
        </w:rPr>
        <w:t>RRBs</w:t>
      </w:r>
      <w:proofErr w:type="spellEnd"/>
      <w:r w:rsidRPr="00113001">
        <w:rPr>
          <w:rFonts w:ascii="Cambria" w:hAnsi="Cambria"/>
          <w:sz w:val="24"/>
          <w:szCs w:val="24"/>
        </w:rPr>
        <w:t xml:space="preserve"> which meet the eligibility norms to participate in </w:t>
      </w:r>
      <w:proofErr w:type="spellStart"/>
      <w:r w:rsidRPr="00113001">
        <w:rPr>
          <w:rFonts w:ascii="Cambria" w:hAnsi="Cambria"/>
          <w:sz w:val="24"/>
          <w:szCs w:val="24"/>
        </w:rPr>
        <w:t>LAF</w:t>
      </w:r>
      <w:proofErr w:type="spellEnd"/>
      <w:r w:rsidRPr="00113001">
        <w:rPr>
          <w:rFonts w:ascii="Cambria" w:hAnsi="Cambria"/>
          <w:sz w:val="24"/>
          <w:szCs w:val="24"/>
        </w:rPr>
        <w:t xml:space="preserve"> and MSF (Positive List) and of those </w:t>
      </w:r>
      <w:proofErr w:type="spellStart"/>
      <w:r w:rsidRPr="00113001">
        <w:rPr>
          <w:rFonts w:ascii="Cambria" w:hAnsi="Cambria"/>
          <w:sz w:val="24"/>
          <w:szCs w:val="24"/>
        </w:rPr>
        <w:t>RRBs</w:t>
      </w:r>
      <w:proofErr w:type="spellEnd"/>
      <w:r w:rsidRPr="00113001">
        <w:rPr>
          <w:rFonts w:ascii="Cambria" w:hAnsi="Cambria"/>
          <w:sz w:val="24"/>
          <w:szCs w:val="24"/>
        </w:rPr>
        <w:t xml:space="preserve"> found ineligible (Negative List) will be intimated to the banks concerned. The eligibility status of the banks will be reviewed on an ongoing basis.</w:t>
      </w:r>
    </w:p>
    <w:p w14:paraId="361945BC" w14:textId="77777777" w:rsidR="000D176C" w:rsidRPr="00113001" w:rsidRDefault="000D176C" w:rsidP="004F2E3C">
      <w:pPr>
        <w:spacing w:after="0" w:line="240" w:lineRule="auto"/>
        <w:jc w:val="both"/>
        <w:rPr>
          <w:rFonts w:ascii="Cambria" w:hAnsi="Cambria"/>
          <w:sz w:val="24"/>
          <w:szCs w:val="24"/>
        </w:rPr>
      </w:pPr>
    </w:p>
    <w:p w14:paraId="7B96DB98" w14:textId="40484643"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3. The effective date from which the </w:t>
      </w:r>
      <w:proofErr w:type="spellStart"/>
      <w:r w:rsidRPr="00113001">
        <w:rPr>
          <w:rFonts w:ascii="Cambria" w:hAnsi="Cambria"/>
          <w:sz w:val="24"/>
          <w:szCs w:val="24"/>
        </w:rPr>
        <w:t>RRBs</w:t>
      </w:r>
      <w:proofErr w:type="spellEnd"/>
      <w:r w:rsidRPr="00113001">
        <w:rPr>
          <w:rFonts w:ascii="Cambria" w:hAnsi="Cambria"/>
          <w:sz w:val="24"/>
          <w:szCs w:val="24"/>
        </w:rPr>
        <w:t xml:space="preserve"> will be eligible to avail of </w:t>
      </w:r>
      <w:proofErr w:type="spellStart"/>
      <w:r w:rsidRPr="00113001">
        <w:rPr>
          <w:rFonts w:ascii="Cambria" w:hAnsi="Cambria"/>
          <w:sz w:val="24"/>
          <w:szCs w:val="24"/>
        </w:rPr>
        <w:t>LAF</w:t>
      </w:r>
      <w:proofErr w:type="spellEnd"/>
      <w:r w:rsidRPr="00113001">
        <w:rPr>
          <w:rFonts w:ascii="Cambria" w:hAnsi="Cambria"/>
          <w:sz w:val="24"/>
          <w:szCs w:val="24"/>
        </w:rPr>
        <w:t xml:space="preserve"> and MSF will be intimated separately.</w:t>
      </w:r>
    </w:p>
    <w:p w14:paraId="2FBC5733" w14:textId="676A17B7" w:rsidR="000D176C" w:rsidRPr="00113001" w:rsidRDefault="000D176C" w:rsidP="004F2E3C">
      <w:pPr>
        <w:pBdr>
          <w:bottom w:val="single" w:sz="12" w:space="1" w:color="auto"/>
        </w:pBdr>
        <w:spacing w:after="0" w:line="240" w:lineRule="auto"/>
        <w:jc w:val="both"/>
        <w:rPr>
          <w:rFonts w:ascii="Cambria" w:hAnsi="Cambria"/>
          <w:sz w:val="24"/>
          <w:szCs w:val="24"/>
        </w:rPr>
      </w:pPr>
    </w:p>
    <w:p w14:paraId="7F8CAD5F" w14:textId="77777777" w:rsidR="0039735E" w:rsidRDefault="0039735E" w:rsidP="004F2E3C">
      <w:pPr>
        <w:spacing w:after="0" w:line="240" w:lineRule="auto"/>
        <w:jc w:val="both"/>
        <w:rPr>
          <w:rFonts w:ascii="Cambria" w:hAnsi="Cambria"/>
          <w:b/>
          <w:bCs/>
          <w:sz w:val="24"/>
          <w:szCs w:val="24"/>
        </w:rPr>
      </w:pPr>
    </w:p>
    <w:p w14:paraId="301E1B58" w14:textId="63B05A7F" w:rsidR="000D176C" w:rsidRPr="00113001" w:rsidRDefault="000D176C" w:rsidP="004F2E3C">
      <w:pPr>
        <w:spacing w:after="0" w:line="240" w:lineRule="auto"/>
        <w:jc w:val="both"/>
        <w:rPr>
          <w:rFonts w:ascii="Cambria" w:hAnsi="Cambria"/>
          <w:b/>
          <w:bCs/>
          <w:sz w:val="24"/>
          <w:szCs w:val="24"/>
        </w:rPr>
      </w:pPr>
      <w:r w:rsidRPr="00113001">
        <w:rPr>
          <w:rFonts w:ascii="Cambria" w:hAnsi="Cambria"/>
          <w:b/>
          <w:bCs/>
          <w:sz w:val="24"/>
          <w:szCs w:val="24"/>
        </w:rPr>
        <w:t>Regional Rural Banks - Access to Call/Notice/Term Money Market</w:t>
      </w:r>
    </w:p>
    <w:p w14:paraId="13B339E8" w14:textId="77777777" w:rsidR="00073301" w:rsidRPr="00113001" w:rsidRDefault="00073301" w:rsidP="004F2E3C">
      <w:pPr>
        <w:spacing w:after="0" w:line="240" w:lineRule="auto"/>
        <w:jc w:val="both"/>
        <w:rPr>
          <w:rFonts w:ascii="Cambria" w:hAnsi="Cambria"/>
          <w:sz w:val="24"/>
          <w:szCs w:val="24"/>
        </w:rPr>
      </w:pPr>
    </w:p>
    <w:p w14:paraId="782A47A0" w14:textId="35DA531C"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RBI/2020-21/78 </w:t>
      </w:r>
      <w:proofErr w:type="spellStart"/>
      <w:r w:rsidRPr="00113001">
        <w:rPr>
          <w:rFonts w:ascii="Cambria" w:hAnsi="Cambria"/>
          <w:sz w:val="24"/>
          <w:szCs w:val="24"/>
        </w:rPr>
        <w:t>FMRD.DIRD.01</w:t>
      </w:r>
      <w:proofErr w:type="spellEnd"/>
      <w:r w:rsidRPr="00113001">
        <w:rPr>
          <w:rFonts w:ascii="Cambria" w:hAnsi="Cambria"/>
          <w:sz w:val="24"/>
          <w:szCs w:val="24"/>
        </w:rPr>
        <w:t>/14.01.001/2020-21</w:t>
      </w:r>
    </w:p>
    <w:p w14:paraId="7D18BB12"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December 04, 2020</w:t>
      </w:r>
    </w:p>
    <w:p w14:paraId="38CD953B" w14:textId="77777777" w:rsidR="000D176C" w:rsidRPr="00113001" w:rsidRDefault="000D176C" w:rsidP="004F2E3C">
      <w:pPr>
        <w:spacing w:after="0" w:line="240" w:lineRule="auto"/>
        <w:jc w:val="both"/>
        <w:rPr>
          <w:rFonts w:ascii="Cambria" w:hAnsi="Cambria"/>
          <w:sz w:val="24"/>
          <w:szCs w:val="24"/>
        </w:rPr>
      </w:pPr>
    </w:p>
    <w:p w14:paraId="41E2BD4B"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All Eligible Market Participants</w:t>
      </w:r>
    </w:p>
    <w:p w14:paraId="3284BD50" w14:textId="77777777" w:rsidR="000D176C" w:rsidRPr="00113001" w:rsidRDefault="000D176C" w:rsidP="004F2E3C">
      <w:pPr>
        <w:spacing w:after="0" w:line="240" w:lineRule="auto"/>
        <w:jc w:val="both"/>
        <w:rPr>
          <w:rFonts w:ascii="Cambria" w:hAnsi="Cambria"/>
          <w:sz w:val="24"/>
          <w:szCs w:val="24"/>
        </w:rPr>
      </w:pPr>
    </w:p>
    <w:p w14:paraId="4D7E45D5"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A reference is invited to the Statement of Developmental and Regulatory Policies dated December 4, 2020 wherein it was announced that Regional Rural Banks (</w:t>
      </w:r>
      <w:proofErr w:type="spellStart"/>
      <w:r w:rsidRPr="00113001">
        <w:rPr>
          <w:rFonts w:ascii="Cambria" w:hAnsi="Cambria"/>
          <w:sz w:val="24"/>
          <w:szCs w:val="24"/>
        </w:rPr>
        <w:t>RRBs</w:t>
      </w:r>
      <w:proofErr w:type="spellEnd"/>
      <w:r w:rsidRPr="00113001">
        <w:rPr>
          <w:rFonts w:ascii="Cambria" w:hAnsi="Cambria"/>
          <w:sz w:val="24"/>
          <w:szCs w:val="24"/>
        </w:rPr>
        <w:t>) shall be permitted to participate in the call/notice/term money market.</w:t>
      </w:r>
    </w:p>
    <w:p w14:paraId="0049E4C2" w14:textId="77777777" w:rsidR="000D176C" w:rsidRPr="00113001" w:rsidRDefault="000D176C" w:rsidP="004F2E3C">
      <w:pPr>
        <w:spacing w:after="0" w:line="240" w:lineRule="auto"/>
        <w:jc w:val="both"/>
        <w:rPr>
          <w:rFonts w:ascii="Cambria" w:hAnsi="Cambria"/>
          <w:sz w:val="24"/>
          <w:szCs w:val="24"/>
        </w:rPr>
      </w:pPr>
    </w:p>
    <w:p w14:paraId="2DD99AEE"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2. Accordingly, </w:t>
      </w:r>
      <w:proofErr w:type="spellStart"/>
      <w:r w:rsidRPr="00113001">
        <w:rPr>
          <w:rFonts w:ascii="Cambria" w:hAnsi="Cambria"/>
          <w:sz w:val="24"/>
          <w:szCs w:val="24"/>
        </w:rPr>
        <w:t>RRBs</w:t>
      </w:r>
      <w:proofErr w:type="spellEnd"/>
      <w:r w:rsidRPr="00113001">
        <w:rPr>
          <w:rFonts w:ascii="Cambria" w:hAnsi="Cambria"/>
          <w:sz w:val="24"/>
          <w:szCs w:val="24"/>
        </w:rPr>
        <w:t xml:space="preserve"> shall be permitted to participate in the call/notice and term money markets both as borrowers and lenders. The prudential limits and other guidelines on call/notice/term money markets for the </w:t>
      </w:r>
      <w:proofErr w:type="spellStart"/>
      <w:r w:rsidRPr="00113001">
        <w:rPr>
          <w:rFonts w:ascii="Cambria" w:hAnsi="Cambria"/>
          <w:sz w:val="24"/>
          <w:szCs w:val="24"/>
        </w:rPr>
        <w:t>RRBs</w:t>
      </w:r>
      <w:proofErr w:type="spellEnd"/>
      <w:r w:rsidRPr="00113001">
        <w:rPr>
          <w:rFonts w:ascii="Cambria" w:hAnsi="Cambria"/>
          <w:sz w:val="24"/>
          <w:szCs w:val="24"/>
        </w:rPr>
        <w:t xml:space="preserve"> shall be the same as those applicable to Scheduled Commercial Banks in terms of the RBI Master Direction </w:t>
      </w:r>
      <w:proofErr w:type="spellStart"/>
      <w:r w:rsidRPr="00113001">
        <w:rPr>
          <w:rFonts w:ascii="Cambria" w:hAnsi="Cambria"/>
          <w:sz w:val="24"/>
          <w:szCs w:val="24"/>
        </w:rPr>
        <w:t>No.2</w:t>
      </w:r>
      <w:proofErr w:type="spellEnd"/>
      <w:r w:rsidRPr="00113001">
        <w:rPr>
          <w:rFonts w:ascii="Cambria" w:hAnsi="Cambria"/>
          <w:sz w:val="24"/>
          <w:szCs w:val="24"/>
        </w:rPr>
        <w:t xml:space="preserve">/2016-17, dated July 7, 2016 on Money Market Instruments: Call/Notice Money Market, Commercial Paper, Certificates of Deposit and Non-Convertible Debentures (original maturity up to one year), as amended from time to time. </w:t>
      </w:r>
      <w:proofErr w:type="spellStart"/>
      <w:r w:rsidRPr="00113001">
        <w:rPr>
          <w:rFonts w:ascii="Cambria" w:hAnsi="Cambria"/>
          <w:sz w:val="24"/>
          <w:szCs w:val="24"/>
        </w:rPr>
        <w:t>RRBs</w:t>
      </w:r>
      <w:proofErr w:type="spellEnd"/>
      <w:r w:rsidRPr="00113001">
        <w:rPr>
          <w:rFonts w:ascii="Cambria" w:hAnsi="Cambria"/>
          <w:sz w:val="24"/>
          <w:szCs w:val="24"/>
        </w:rPr>
        <w:t xml:space="preserve"> may approach the Chief General Manager, Financial Market Regulation Department, Reserve Bank of India Central Office, 9th floor, Central Office building, Shahid Bhagat Singh Marg, Fort, Mumbai-400 001 (cgmfmrd@rbi.org.in) in this regard.</w:t>
      </w:r>
    </w:p>
    <w:p w14:paraId="101955A3" w14:textId="77777777" w:rsidR="000D176C" w:rsidRPr="00113001" w:rsidRDefault="000D176C" w:rsidP="004F2E3C">
      <w:pPr>
        <w:spacing w:after="0" w:line="240" w:lineRule="auto"/>
        <w:jc w:val="both"/>
        <w:rPr>
          <w:rFonts w:ascii="Cambria" w:hAnsi="Cambria"/>
          <w:sz w:val="24"/>
          <w:szCs w:val="24"/>
        </w:rPr>
      </w:pPr>
    </w:p>
    <w:p w14:paraId="36F7006B"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3. These Directions have been issued by RBI in exercise of the powers conferred under section </w:t>
      </w:r>
      <w:proofErr w:type="spellStart"/>
      <w:r w:rsidRPr="00113001">
        <w:rPr>
          <w:rFonts w:ascii="Cambria" w:hAnsi="Cambria"/>
          <w:sz w:val="24"/>
          <w:szCs w:val="24"/>
        </w:rPr>
        <w:t>45W</w:t>
      </w:r>
      <w:proofErr w:type="spellEnd"/>
      <w:r w:rsidRPr="00113001">
        <w:rPr>
          <w:rFonts w:ascii="Cambria" w:hAnsi="Cambria"/>
          <w:sz w:val="24"/>
          <w:szCs w:val="24"/>
        </w:rPr>
        <w:t xml:space="preserve"> of the Reserve Bank of India Act, 1934 and of all the powers enabling it in this behalf.</w:t>
      </w:r>
    </w:p>
    <w:p w14:paraId="3CD7D72C" w14:textId="77777777" w:rsidR="000D176C" w:rsidRPr="00113001" w:rsidRDefault="000D176C" w:rsidP="004F2E3C">
      <w:pPr>
        <w:spacing w:after="0" w:line="240" w:lineRule="auto"/>
        <w:jc w:val="both"/>
        <w:rPr>
          <w:rFonts w:ascii="Cambria" w:hAnsi="Cambria"/>
          <w:sz w:val="24"/>
          <w:szCs w:val="24"/>
        </w:rPr>
      </w:pPr>
    </w:p>
    <w:p w14:paraId="3F6685B5" w14:textId="6DCA1075"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4. These Directions shall be applicable with immediate effect.</w:t>
      </w:r>
    </w:p>
    <w:p w14:paraId="7BE63FE7" w14:textId="4B2E743B" w:rsidR="000D176C" w:rsidRPr="00113001" w:rsidRDefault="000D176C" w:rsidP="004F2E3C">
      <w:pPr>
        <w:pBdr>
          <w:bottom w:val="single" w:sz="12" w:space="1" w:color="auto"/>
        </w:pBdr>
        <w:spacing w:after="0" w:line="240" w:lineRule="auto"/>
        <w:jc w:val="both"/>
        <w:rPr>
          <w:rFonts w:ascii="Cambria" w:hAnsi="Cambria"/>
          <w:sz w:val="24"/>
          <w:szCs w:val="24"/>
        </w:rPr>
      </w:pPr>
    </w:p>
    <w:p w14:paraId="600D9169" w14:textId="52E423A6" w:rsidR="00113001" w:rsidRDefault="00113001" w:rsidP="004F2E3C">
      <w:pPr>
        <w:spacing w:after="0" w:line="240" w:lineRule="auto"/>
        <w:jc w:val="both"/>
        <w:rPr>
          <w:rFonts w:ascii="Cambria" w:hAnsi="Cambria"/>
          <w:sz w:val="24"/>
          <w:szCs w:val="24"/>
        </w:rPr>
      </w:pPr>
      <w:r w:rsidRPr="00113001">
        <w:rPr>
          <w:rFonts w:ascii="Cambria" w:hAnsi="Cambria"/>
          <w:sz w:val="24"/>
          <w:szCs w:val="24"/>
        </w:rPr>
        <w:t xml:space="preserve"> </w:t>
      </w:r>
    </w:p>
    <w:p w14:paraId="794C1913" w14:textId="776AEFD3" w:rsidR="00113001" w:rsidRDefault="00113001" w:rsidP="004F2E3C">
      <w:pPr>
        <w:spacing w:after="0" w:line="240" w:lineRule="auto"/>
        <w:jc w:val="both"/>
        <w:rPr>
          <w:rFonts w:ascii="Cambria" w:hAnsi="Cambria"/>
          <w:sz w:val="24"/>
          <w:szCs w:val="24"/>
        </w:rPr>
      </w:pPr>
    </w:p>
    <w:p w14:paraId="5C7F70A8" w14:textId="77777777" w:rsidR="00113001" w:rsidRPr="00113001" w:rsidRDefault="00113001" w:rsidP="004F2E3C">
      <w:pPr>
        <w:spacing w:after="0" w:line="240" w:lineRule="auto"/>
        <w:jc w:val="both"/>
        <w:rPr>
          <w:rFonts w:ascii="Cambria" w:hAnsi="Cambria"/>
          <w:sz w:val="24"/>
          <w:szCs w:val="24"/>
        </w:rPr>
      </w:pPr>
    </w:p>
    <w:sectPr w:rsidR="00113001" w:rsidRPr="0011300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B38DD" w14:textId="77777777" w:rsidR="00C4674F" w:rsidRDefault="00C4674F" w:rsidP="00D52BE8">
      <w:pPr>
        <w:spacing w:after="0" w:line="240" w:lineRule="auto"/>
      </w:pPr>
      <w:r>
        <w:separator/>
      </w:r>
    </w:p>
  </w:endnote>
  <w:endnote w:type="continuationSeparator" w:id="0">
    <w:p w14:paraId="428EB287" w14:textId="77777777" w:rsidR="00C4674F" w:rsidRDefault="00C4674F" w:rsidP="00D5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943842"/>
      <w:docPartObj>
        <w:docPartGallery w:val="Page Numbers (Bottom of Page)"/>
        <w:docPartUnique/>
      </w:docPartObj>
    </w:sdtPr>
    <w:sdtEndPr>
      <w:rPr>
        <w:noProof/>
      </w:rPr>
    </w:sdtEndPr>
    <w:sdtContent>
      <w:p w14:paraId="5F10DF54" w14:textId="377AB1F6" w:rsidR="00F424E1" w:rsidRDefault="00F424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FCA125" w14:textId="77777777" w:rsidR="00F424E1" w:rsidRDefault="00F42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EA634" w14:textId="77777777" w:rsidR="00C4674F" w:rsidRDefault="00C4674F" w:rsidP="00D52BE8">
      <w:pPr>
        <w:spacing w:after="0" w:line="240" w:lineRule="auto"/>
      </w:pPr>
      <w:r>
        <w:separator/>
      </w:r>
    </w:p>
  </w:footnote>
  <w:footnote w:type="continuationSeparator" w:id="0">
    <w:p w14:paraId="1B5C8FC7" w14:textId="77777777" w:rsidR="00C4674F" w:rsidRDefault="00C4674F" w:rsidP="00D52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6E66"/>
    <w:multiLevelType w:val="hybridMultilevel"/>
    <w:tmpl w:val="06A8A7E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3F7B43"/>
    <w:multiLevelType w:val="hybridMultilevel"/>
    <w:tmpl w:val="1732194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47239C"/>
    <w:multiLevelType w:val="hybridMultilevel"/>
    <w:tmpl w:val="5AB0A418"/>
    <w:lvl w:ilvl="0" w:tplc="E6C262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103011"/>
    <w:multiLevelType w:val="hybridMultilevel"/>
    <w:tmpl w:val="8EE2DFA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AE0A5A"/>
    <w:multiLevelType w:val="hybridMultilevel"/>
    <w:tmpl w:val="88F21F5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166997"/>
    <w:multiLevelType w:val="hybridMultilevel"/>
    <w:tmpl w:val="39D89D1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2B40E00"/>
    <w:multiLevelType w:val="hybridMultilevel"/>
    <w:tmpl w:val="6F5A659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F95691"/>
    <w:multiLevelType w:val="hybridMultilevel"/>
    <w:tmpl w:val="7E7CF95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D65069"/>
    <w:multiLevelType w:val="hybridMultilevel"/>
    <w:tmpl w:val="1EB43DE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7A115F8"/>
    <w:multiLevelType w:val="hybridMultilevel"/>
    <w:tmpl w:val="EA5456E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5C457A"/>
    <w:multiLevelType w:val="hybridMultilevel"/>
    <w:tmpl w:val="143A407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7C1DB8"/>
    <w:multiLevelType w:val="hybridMultilevel"/>
    <w:tmpl w:val="873A525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44733D7"/>
    <w:multiLevelType w:val="hybridMultilevel"/>
    <w:tmpl w:val="FA5649D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51711D5"/>
    <w:multiLevelType w:val="hybridMultilevel"/>
    <w:tmpl w:val="7E086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AF3526"/>
    <w:multiLevelType w:val="hybridMultilevel"/>
    <w:tmpl w:val="68A88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7687F45"/>
    <w:multiLevelType w:val="hybridMultilevel"/>
    <w:tmpl w:val="A632524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CA60A1B"/>
    <w:multiLevelType w:val="hybridMultilevel"/>
    <w:tmpl w:val="C50CE07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E1D421B"/>
    <w:multiLevelType w:val="hybridMultilevel"/>
    <w:tmpl w:val="A3F8C94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E203F85"/>
    <w:multiLevelType w:val="hybridMultilevel"/>
    <w:tmpl w:val="0F50D2A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EB631DB"/>
    <w:multiLevelType w:val="hybridMultilevel"/>
    <w:tmpl w:val="CD3E49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0584C92"/>
    <w:multiLevelType w:val="hybridMultilevel"/>
    <w:tmpl w:val="7CEA9B0E"/>
    <w:lvl w:ilvl="0" w:tplc="E6C262F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1426E40"/>
    <w:multiLevelType w:val="hybridMultilevel"/>
    <w:tmpl w:val="F1B0A46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53C6DCB"/>
    <w:multiLevelType w:val="hybridMultilevel"/>
    <w:tmpl w:val="6CA0D116"/>
    <w:lvl w:ilvl="0" w:tplc="4009001B">
      <w:start w:val="1"/>
      <w:numFmt w:val="lowerRoman"/>
      <w:lvlText w:val="%1."/>
      <w:lvlJc w:val="right"/>
      <w:pPr>
        <w:ind w:left="720" w:hanging="360"/>
      </w:pPr>
    </w:lvl>
    <w:lvl w:ilvl="1" w:tplc="C694C868">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77E10F9"/>
    <w:multiLevelType w:val="hybridMultilevel"/>
    <w:tmpl w:val="8FD68AF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A076AA2"/>
    <w:multiLevelType w:val="hybridMultilevel"/>
    <w:tmpl w:val="0BFADC6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1121C7D"/>
    <w:multiLevelType w:val="hybridMultilevel"/>
    <w:tmpl w:val="553E892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2935003"/>
    <w:multiLevelType w:val="hybridMultilevel"/>
    <w:tmpl w:val="93605B4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31A79C4"/>
    <w:multiLevelType w:val="hybridMultilevel"/>
    <w:tmpl w:val="70E46FC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772FB6"/>
    <w:multiLevelType w:val="hybridMultilevel"/>
    <w:tmpl w:val="2E886E4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680677A"/>
    <w:multiLevelType w:val="hybridMultilevel"/>
    <w:tmpl w:val="E7DA236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8C85516"/>
    <w:multiLevelType w:val="hybridMultilevel"/>
    <w:tmpl w:val="EF7ABAC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C7315D5"/>
    <w:multiLevelType w:val="hybridMultilevel"/>
    <w:tmpl w:val="70D4F05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E1719D0"/>
    <w:multiLevelType w:val="hybridMultilevel"/>
    <w:tmpl w:val="F94EDAEA"/>
    <w:lvl w:ilvl="0" w:tplc="4009001B">
      <w:start w:val="1"/>
      <w:numFmt w:val="lowerRoman"/>
      <w:lvlText w:val="%1."/>
      <w:lvlJc w:val="right"/>
      <w:pPr>
        <w:ind w:left="720" w:hanging="360"/>
      </w:p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24"/>
  </w:num>
  <w:num w:numId="3">
    <w:abstractNumId w:val="29"/>
  </w:num>
  <w:num w:numId="4">
    <w:abstractNumId w:val="7"/>
  </w:num>
  <w:num w:numId="5">
    <w:abstractNumId w:val="21"/>
  </w:num>
  <w:num w:numId="6">
    <w:abstractNumId w:val="4"/>
  </w:num>
  <w:num w:numId="7">
    <w:abstractNumId w:val="31"/>
  </w:num>
  <w:num w:numId="8">
    <w:abstractNumId w:val="13"/>
  </w:num>
  <w:num w:numId="9">
    <w:abstractNumId w:val="1"/>
  </w:num>
  <w:num w:numId="10">
    <w:abstractNumId w:val="9"/>
  </w:num>
  <w:num w:numId="11">
    <w:abstractNumId w:val="20"/>
  </w:num>
  <w:num w:numId="12">
    <w:abstractNumId w:val="2"/>
  </w:num>
  <w:num w:numId="13">
    <w:abstractNumId w:val="30"/>
  </w:num>
  <w:num w:numId="14">
    <w:abstractNumId w:val="26"/>
  </w:num>
  <w:num w:numId="15">
    <w:abstractNumId w:val="28"/>
  </w:num>
  <w:num w:numId="16">
    <w:abstractNumId w:val="12"/>
  </w:num>
  <w:num w:numId="17">
    <w:abstractNumId w:val="3"/>
  </w:num>
  <w:num w:numId="18">
    <w:abstractNumId w:val="11"/>
  </w:num>
  <w:num w:numId="19">
    <w:abstractNumId w:val="14"/>
  </w:num>
  <w:num w:numId="20">
    <w:abstractNumId w:val="8"/>
  </w:num>
  <w:num w:numId="21">
    <w:abstractNumId w:val="27"/>
  </w:num>
  <w:num w:numId="22">
    <w:abstractNumId w:val="15"/>
  </w:num>
  <w:num w:numId="23">
    <w:abstractNumId w:val="6"/>
  </w:num>
  <w:num w:numId="24">
    <w:abstractNumId w:val="23"/>
  </w:num>
  <w:num w:numId="25">
    <w:abstractNumId w:val="17"/>
  </w:num>
  <w:num w:numId="26">
    <w:abstractNumId w:val="16"/>
  </w:num>
  <w:num w:numId="27">
    <w:abstractNumId w:val="25"/>
  </w:num>
  <w:num w:numId="28">
    <w:abstractNumId w:val="22"/>
  </w:num>
  <w:num w:numId="29">
    <w:abstractNumId w:val="10"/>
  </w:num>
  <w:num w:numId="30">
    <w:abstractNumId w:val="5"/>
  </w:num>
  <w:num w:numId="31">
    <w:abstractNumId w:val="32"/>
  </w:num>
  <w:num w:numId="32">
    <w:abstractNumId w:val="1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C2"/>
    <w:rsid w:val="00006EDF"/>
    <w:rsid w:val="00073301"/>
    <w:rsid w:val="000D176C"/>
    <w:rsid w:val="000D5A90"/>
    <w:rsid w:val="00113001"/>
    <w:rsid w:val="00147A38"/>
    <w:rsid w:val="002238AA"/>
    <w:rsid w:val="0039735E"/>
    <w:rsid w:val="003A1120"/>
    <w:rsid w:val="00476BD5"/>
    <w:rsid w:val="004E503C"/>
    <w:rsid w:val="004F2E3C"/>
    <w:rsid w:val="005E301D"/>
    <w:rsid w:val="006449DE"/>
    <w:rsid w:val="00745628"/>
    <w:rsid w:val="007615AE"/>
    <w:rsid w:val="00797339"/>
    <w:rsid w:val="00825F35"/>
    <w:rsid w:val="00870362"/>
    <w:rsid w:val="008A7CB1"/>
    <w:rsid w:val="00902F9B"/>
    <w:rsid w:val="009541FD"/>
    <w:rsid w:val="00984497"/>
    <w:rsid w:val="009C1AF0"/>
    <w:rsid w:val="00A57CC1"/>
    <w:rsid w:val="00AC0EFA"/>
    <w:rsid w:val="00AD2750"/>
    <w:rsid w:val="00B24EBE"/>
    <w:rsid w:val="00BD2AF0"/>
    <w:rsid w:val="00C4674F"/>
    <w:rsid w:val="00C72793"/>
    <w:rsid w:val="00CD12C2"/>
    <w:rsid w:val="00D11854"/>
    <w:rsid w:val="00D52BE8"/>
    <w:rsid w:val="00D53EA0"/>
    <w:rsid w:val="00D7634B"/>
    <w:rsid w:val="00DE2575"/>
    <w:rsid w:val="00F424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087E"/>
  <w15:chartTrackingRefBased/>
  <w15:docId w15:val="{565E9D74-52DA-4A81-98CB-DF6D0040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2C2"/>
    <w:pPr>
      <w:ind w:left="720"/>
      <w:contextualSpacing/>
    </w:pPr>
  </w:style>
  <w:style w:type="character" w:styleId="Hyperlink">
    <w:name w:val="Hyperlink"/>
    <w:basedOn w:val="DefaultParagraphFont"/>
    <w:uiPriority w:val="99"/>
    <w:unhideWhenUsed/>
    <w:rsid w:val="00BD2AF0"/>
    <w:rPr>
      <w:color w:val="0563C1" w:themeColor="hyperlink"/>
      <w:u w:val="single"/>
    </w:rPr>
  </w:style>
  <w:style w:type="character" w:styleId="UnresolvedMention">
    <w:name w:val="Unresolved Mention"/>
    <w:basedOn w:val="DefaultParagraphFont"/>
    <w:uiPriority w:val="99"/>
    <w:semiHidden/>
    <w:unhideWhenUsed/>
    <w:rsid w:val="00BD2AF0"/>
    <w:rPr>
      <w:color w:val="605E5C"/>
      <w:shd w:val="clear" w:color="auto" w:fill="E1DFDD"/>
    </w:rPr>
  </w:style>
  <w:style w:type="character" w:customStyle="1" w:styleId="head">
    <w:name w:val="head"/>
    <w:basedOn w:val="DefaultParagraphFont"/>
    <w:rsid w:val="007615AE"/>
  </w:style>
  <w:style w:type="paragraph" w:styleId="Header">
    <w:name w:val="header"/>
    <w:basedOn w:val="Normal"/>
    <w:link w:val="HeaderChar"/>
    <w:uiPriority w:val="99"/>
    <w:unhideWhenUsed/>
    <w:rsid w:val="00D52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BE8"/>
  </w:style>
  <w:style w:type="paragraph" w:styleId="Footer">
    <w:name w:val="footer"/>
    <w:basedOn w:val="Normal"/>
    <w:link w:val="FooterChar"/>
    <w:uiPriority w:val="99"/>
    <w:unhideWhenUsed/>
    <w:rsid w:val="00D52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BE8"/>
  </w:style>
  <w:style w:type="table" w:styleId="TableGrid">
    <w:name w:val="Table Grid"/>
    <w:basedOn w:val="TableNormal"/>
    <w:uiPriority w:val="39"/>
    <w:rsid w:val="00984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1122">
      <w:bodyDiv w:val="1"/>
      <w:marLeft w:val="0"/>
      <w:marRight w:val="0"/>
      <w:marTop w:val="0"/>
      <w:marBottom w:val="0"/>
      <w:divBdr>
        <w:top w:val="none" w:sz="0" w:space="0" w:color="auto"/>
        <w:left w:val="none" w:sz="0" w:space="0" w:color="auto"/>
        <w:bottom w:val="none" w:sz="0" w:space="0" w:color="auto"/>
        <w:right w:val="none" w:sz="0" w:space="0" w:color="auto"/>
      </w:divBdr>
    </w:div>
    <w:div w:id="155849529">
      <w:bodyDiv w:val="1"/>
      <w:marLeft w:val="0"/>
      <w:marRight w:val="0"/>
      <w:marTop w:val="0"/>
      <w:marBottom w:val="0"/>
      <w:divBdr>
        <w:top w:val="none" w:sz="0" w:space="0" w:color="auto"/>
        <w:left w:val="none" w:sz="0" w:space="0" w:color="auto"/>
        <w:bottom w:val="none" w:sz="0" w:space="0" w:color="auto"/>
        <w:right w:val="none" w:sz="0" w:space="0" w:color="auto"/>
      </w:divBdr>
    </w:div>
    <w:div w:id="710034431">
      <w:bodyDiv w:val="1"/>
      <w:marLeft w:val="0"/>
      <w:marRight w:val="0"/>
      <w:marTop w:val="0"/>
      <w:marBottom w:val="0"/>
      <w:divBdr>
        <w:top w:val="none" w:sz="0" w:space="0" w:color="auto"/>
        <w:left w:val="none" w:sz="0" w:space="0" w:color="auto"/>
        <w:bottom w:val="none" w:sz="0" w:space="0" w:color="auto"/>
        <w:right w:val="none" w:sz="0" w:space="0" w:color="auto"/>
      </w:divBdr>
    </w:div>
    <w:div w:id="850686230">
      <w:bodyDiv w:val="1"/>
      <w:marLeft w:val="0"/>
      <w:marRight w:val="0"/>
      <w:marTop w:val="0"/>
      <w:marBottom w:val="0"/>
      <w:divBdr>
        <w:top w:val="none" w:sz="0" w:space="0" w:color="auto"/>
        <w:left w:val="none" w:sz="0" w:space="0" w:color="auto"/>
        <w:bottom w:val="none" w:sz="0" w:space="0" w:color="auto"/>
        <w:right w:val="none" w:sz="0" w:space="0" w:color="auto"/>
      </w:divBdr>
    </w:div>
    <w:div w:id="870800862">
      <w:bodyDiv w:val="1"/>
      <w:marLeft w:val="0"/>
      <w:marRight w:val="0"/>
      <w:marTop w:val="0"/>
      <w:marBottom w:val="0"/>
      <w:divBdr>
        <w:top w:val="none" w:sz="0" w:space="0" w:color="auto"/>
        <w:left w:val="none" w:sz="0" w:space="0" w:color="auto"/>
        <w:bottom w:val="none" w:sz="0" w:space="0" w:color="auto"/>
        <w:right w:val="none" w:sz="0" w:space="0" w:color="auto"/>
      </w:divBdr>
      <w:divsChild>
        <w:div w:id="1984000223">
          <w:marLeft w:val="0"/>
          <w:marRight w:val="0"/>
          <w:marTop w:val="0"/>
          <w:marBottom w:val="0"/>
          <w:divBdr>
            <w:top w:val="none" w:sz="0" w:space="0" w:color="auto"/>
            <w:left w:val="none" w:sz="0" w:space="0" w:color="auto"/>
            <w:bottom w:val="none" w:sz="0" w:space="0" w:color="auto"/>
            <w:right w:val="none" w:sz="0" w:space="0" w:color="auto"/>
          </w:divBdr>
        </w:div>
      </w:divsChild>
    </w:div>
    <w:div w:id="976371097">
      <w:bodyDiv w:val="1"/>
      <w:marLeft w:val="0"/>
      <w:marRight w:val="0"/>
      <w:marTop w:val="0"/>
      <w:marBottom w:val="0"/>
      <w:divBdr>
        <w:top w:val="none" w:sz="0" w:space="0" w:color="auto"/>
        <w:left w:val="none" w:sz="0" w:space="0" w:color="auto"/>
        <w:bottom w:val="none" w:sz="0" w:space="0" w:color="auto"/>
        <w:right w:val="none" w:sz="0" w:space="0" w:color="auto"/>
      </w:divBdr>
    </w:div>
    <w:div w:id="1251738480">
      <w:bodyDiv w:val="1"/>
      <w:marLeft w:val="0"/>
      <w:marRight w:val="0"/>
      <w:marTop w:val="0"/>
      <w:marBottom w:val="0"/>
      <w:divBdr>
        <w:top w:val="none" w:sz="0" w:space="0" w:color="auto"/>
        <w:left w:val="none" w:sz="0" w:space="0" w:color="auto"/>
        <w:bottom w:val="none" w:sz="0" w:space="0" w:color="auto"/>
        <w:right w:val="none" w:sz="0" w:space="0" w:color="auto"/>
      </w:divBdr>
    </w:div>
    <w:div w:id="1285041635">
      <w:bodyDiv w:val="1"/>
      <w:marLeft w:val="0"/>
      <w:marRight w:val="0"/>
      <w:marTop w:val="0"/>
      <w:marBottom w:val="0"/>
      <w:divBdr>
        <w:top w:val="none" w:sz="0" w:space="0" w:color="auto"/>
        <w:left w:val="none" w:sz="0" w:space="0" w:color="auto"/>
        <w:bottom w:val="none" w:sz="0" w:space="0" w:color="auto"/>
        <w:right w:val="none" w:sz="0" w:space="0" w:color="auto"/>
      </w:divBdr>
    </w:div>
    <w:div w:id="1470317427">
      <w:bodyDiv w:val="1"/>
      <w:marLeft w:val="0"/>
      <w:marRight w:val="0"/>
      <w:marTop w:val="0"/>
      <w:marBottom w:val="0"/>
      <w:divBdr>
        <w:top w:val="none" w:sz="0" w:space="0" w:color="auto"/>
        <w:left w:val="none" w:sz="0" w:space="0" w:color="auto"/>
        <w:bottom w:val="none" w:sz="0" w:space="0" w:color="auto"/>
        <w:right w:val="none" w:sz="0" w:space="0" w:color="auto"/>
      </w:divBdr>
    </w:div>
    <w:div w:id="1695036018">
      <w:bodyDiv w:val="1"/>
      <w:marLeft w:val="0"/>
      <w:marRight w:val="0"/>
      <w:marTop w:val="0"/>
      <w:marBottom w:val="0"/>
      <w:divBdr>
        <w:top w:val="none" w:sz="0" w:space="0" w:color="auto"/>
        <w:left w:val="none" w:sz="0" w:space="0" w:color="auto"/>
        <w:bottom w:val="none" w:sz="0" w:space="0" w:color="auto"/>
        <w:right w:val="none" w:sz="0" w:space="0" w:color="auto"/>
      </w:divBdr>
    </w:div>
    <w:div w:id="1736275371">
      <w:bodyDiv w:val="1"/>
      <w:marLeft w:val="0"/>
      <w:marRight w:val="0"/>
      <w:marTop w:val="0"/>
      <w:marBottom w:val="0"/>
      <w:divBdr>
        <w:top w:val="none" w:sz="0" w:space="0" w:color="auto"/>
        <w:left w:val="none" w:sz="0" w:space="0" w:color="auto"/>
        <w:bottom w:val="none" w:sz="0" w:space="0" w:color="auto"/>
        <w:right w:val="none" w:sz="0" w:space="0" w:color="auto"/>
      </w:divBdr>
    </w:div>
    <w:div w:id="1743988046">
      <w:bodyDiv w:val="1"/>
      <w:marLeft w:val="0"/>
      <w:marRight w:val="0"/>
      <w:marTop w:val="0"/>
      <w:marBottom w:val="0"/>
      <w:divBdr>
        <w:top w:val="none" w:sz="0" w:space="0" w:color="auto"/>
        <w:left w:val="none" w:sz="0" w:space="0" w:color="auto"/>
        <w:bottom w:val="none" w:sz="0" w:space="0" w:color="auto"/>
        <w:right w:val="none" w:sz="0" w:space="0" w:color="auto"/>
      </w:divBdr>
    </w:div>
    <w:div w:id="198523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1943&amp;Mode=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bi.org.in/Scripts/NotificationUser.aspx?Id=12005&amp;Mode=0" TargetMode="External"/><Relationship Id="rId4" Type="http://schemas.openxmlformats.org/officeDocument/2006/relationships/settings" Target="settings.xml"/><Relationship Id="rId9" Type="http://schemas.openxmlformats.org/officeDocument/2006/relationships/hyperlink" Target="https://www.rbi.org.in/Scripts/NotificationUser.aspx?Id=11943&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E71E-DC73-4E29-8D2E-2ED8A4CE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3</cp:revision>
  <dcterms:created xsi:type="dcterms:W3CDTF">2021-01-14T13:20:00Z</dcterms:created>
  <dcterms:modified xsi:type="dcterms:W3CDTF">2021-01-14T13:24:00Z</dcterms:modified>
</cp:coreProperties>
</file>